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6211A143"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822294">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7A64EF19" w:rsidR="005767E8" w:rsidRDefault="005767E8" w:rsidP="005767E8">
      <w:pPr>
        <w:jc w:val="center"/>
        <w:rPr>
          <w:rFonts w:ascii="Arial" w:hAnsi="Arial"/>
        </w:rPr>
      </w:pPr>
      <w:r w:rsidRPr="005767E8">
        <w:rPr>
          <w:rFonts w:ascii="Arial" w:hAnsi="Arial"/>
        </w:rPr>
        <w:t xml:space="preserve">E-Rate Eligible Category </w:t>
      </w:r>
      <w:r w:rsidR="00DF61D1">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000958" w14:paraId="7536FAC3" w14:textId="77777777" w:rsidTr="00B40E13">
        <w:trPr>
          <w:trHeight w:val="397"/>
          <w:jc w:val="center"/>
        </w:trPr>
        <w:tc>
          <w:tcPr>
            <w:tcW w:w="2794" w:type="dxa"/>
            <w:tcBorders>
              <w:bottom w:val="single" w:sz="4" w:space="0" w:color="000000"/>
              <w:right w:val="single" w:sz="4" w:space="0" w:color="000000"/>
            </w:tcBorders>
          </w:tcPr>
          <w:p w14:paraId="1DFB97E7" w14:textId="77777777" w:rsidR="005767E8" w:rsidRPr="00000958" w:rsidRDefault="005767E8" w:rsidP="005767E8">
            <w:pPr>
              <w:widowControl w:val="0"/>
              <w:autoSpaceDE w:val="0"/>
              <w:autoSpaceDN w:val="0"/>
              <w:spacing w:before="57"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Applicant</w:t>
            </w:r>
          </w:p>
        </w:tc>
        <w:tc>
          <w:tcPr>
            <w:tcW w:w="6836" w:type="dxa"/>
            <w:tcBorders>
              <w:left w:val="single" w:sz="4" w:space="0" w:color="000000"/>
              <w:bottom w:val="single" w:sz="4" w:space="0" w:color="000000"/>
            </w:tcBorders>
          </w:tcPr>
          <w:p w14:paraId="57FF38E8" w14:textId="5427ED4A" w:rsidR="005767E8" w:rsidRPr="00000958" w:rsidRDefault="00822294" w:rsidP="00E043AE">
            <w:pPr>
              <w:widowControl w:val="0"/>
              <w:autoSpaceDE w:val="0"/>
              <w:autoSpaceDN w:val="0"/>
              <w:spacing w:before="57" w:after="0" w:line="240" w:lineRule="auto"/>
              <w:rPr>
                <w:rFonts w:ascii="Times New Roman" w:eastAsia="Times New Roman" w:hAnsi="Times New Roman" w:cs="Times New Roman"/>
                <w:b/>
                <w:sz w:val="32"/>
                <w:szCs w:val="32"/>
                <w:lang w:bidi="en-US"/>
              </w:rPr>
            </w:pPr>
            <w:r w:rsidRPr="00000958">
              <w:rPr>
                <w:rFonts w:ascii="Times New Roman" w:eastAsia="Times New Roman" w:hAnsi="Times New Roman" w:cs="Times New Roman"/>
                <w:b/>
                <w:sz w:val="32"/>
                <w:szCs w:val="32"/>
                <w:lang w:bidi="en-US"/>
              </w:rPr>
              <w:t>Blochman Union Elementary School District</w:t>
            </w:r>
          </w:p>
        </w:tc>
      </w:tr>
      <w:tr w:rsidR="005767E8" w:rsidRPr="00000958" w14:paraId="2C90AEC7" w14:textId="77777777" w:rsidTr="00B40E13">
        <w:trPr>
          <w:trHeight w:val="638"/>
          <w:jc w:val="center"/>
        </w:trPr>
        <w:tc>
          <w:tcPr>
            <w:tcW w:w="2794" w:type="dxa"/>
            <w:tcBorders>
              <w:top w:val="single" w:sz="4" w:space="0" w:color="000000"/>
              <w:bottom w:val="single" w:sz="4" w:space="0" w:color="000000"/>
              <w:right w:val="single" w:sz="4" w:space="0" w:color="000000"/>
            </w:tcBorders>
          </w:tcPr>
          <w:p w14:paraId="593F0CEA" w14:textId="77777777" w:rsidR="005767E8" w:rsidRPr="00000958" w:rsidRDefault="005767E8" w:rsidP="005767E8">
            <w:pPr>
              <w:widowControl w:val="0"/>
              <w:autoSpaceDE w:val="0"/>
              <w:autoSpaceDN w:val="0"/>
              <w:spacing w:before="58"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Billed Entity Number</w:t>
            </w:r>
          </w:p>
        </w:tc>
        <w:tc>
          <w:tcPr>
            <w:tcW w:w="6836" w:type="dxa"/>
            <w:tcBorders>
              <w:top w:val="single" w:sz="4" w:space="0" w:color="000000"/>
              <w:left w:val="single" w:sz="4" w:space="0" w:color="000000"/>
              <w:bottom w:val="single" w:sz="4" w:space="0" w:color="000000"/>
            </w:tcBorders>
          </w:tcPr>
          <w:p w14:paraId="006898F1" w14:textId="77777777" w:rsidR="00822294" w:rsidRPr="00000958" w:rsidRDefault="00822294" w:rsidP="00822294">
            <w:pPr>
              <w:shd w:val="clear" w:color="auto" w:fill="FFFFFF"/>
              <w:spacing w:after="0" w:line="240" w:lineRule="auto"/>
              <w:outlineLvl w:val="0"/>
              <w:rPr>
                <w:rFonts w:ascii="Times New Roman" w:eastAsia="Times New Roman" w:hAnsi="Times New Roman" w:cs="Times New Roman"/>
                <w:b/>
                <w:bCs/>
                <w:color w:val="222222"/>
                <w:kern w:val="36"/>
                <w:sz w:val="24"/>
                <w:szCs w:val="24"/>
              </w:rPr>
            </w:pPr>
            <w:r w:rsidRPr="00000958">
              <w:rPr>
                <w:rFonts w:ascii="Times New Roman" w:eastAsia="Times New Roman" w:hAnsi="Times New Roman" w:cs="Times New Roman"/>
                <w:b/>
                <w:bCs/>
                <w:color w:val="222222"/>
                <w:kern w:val="36"/>
                <w:sz w:val="24"/>
                <w:szCs w:val="24"/>
              </w:rPr>
              <w:t>143976</w:t>
            </w:r>
          </w:p>
          <w:p w14:paraId="3FAE5212" w14:textId="17AF64E5" w:rsidR="005767E8" w:rsidRPr="00000958" w:rsidRDefault="005767E8" w:rsidP="005767E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62DF536F" w14:textId="4F00BFA8" w:rsidR="005767E8" w:rsidRPr="00000958" w:rsidRDefault="005767E8" w:rsidP="005767E8">
            <w:pPr>
              <w:widowControl w:val="0"/>
              <w:autoSpaceDE w:val="0"/>
              <w:autoSpaceDN w:val="0"/>
              <w:spacing w:before="58" w:after="0" w:line="240" w:lineRule="auto"/>
              <w:ind w:left="128"/>
              <w:rPr>
                <w:rFonts w:ascii="Times New Roman" w:eastAsia="Times New Roman" w:hAnsi="Times New Roman" w:cs="Times New Roman"/>
                <w:b/>
                <w:sz w:val="24"/>
                <w:szCs w:val="24"/>
                <w:lang w:bidi="en-US"/>
              </w:rPr>
            </w:pPr>
          </w:p>
        </w:tc>
      </w:tr>
      <w:tr w:rsidR="004C347F" w:rsidRPr="00000958" w14:paraId="66B2EA44" w14:textId="77777777" w:rsidTr="00B40E13">
        <w:trPr>
          <w:trHeight w:val="1088"/>
          <w:jc w:val="center"/>
        </w:trPr>
        <w:tc>
          <w:tcPr>
            <w:tcW w:w="2794" w:type="dxa"/>
            <w:tcBorders>
              <w:top w:val="single" w:sz="4" w:space="0" w:color="000000"/>
              <w:bottom w:val="single" w:sz="4" w:space="0" w:color="000000"/>
              <w:right w:val="single" w:sz="4" w:space="0" w:color="000000"/>
            </w:tcBorders>
          </w:tcPr>
          <w:p w14:paraId="00E7AF22" w14:textId="644646F1" w:rsidR="004C347F" w:rsidRPr="00000958" w:rsidRDefault="001727F0" w:rsidP="005767E8">
            <w:pPr>
              <w:widowControl w:val="0"/>
              <w:autoSpaceDE w:val="0"/>
              <w:autoSpaceDN w:val="0"/>
              <w:spacing w:before="58"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Name of RFP</w:t>
            </w:r>
          </w:p>
        </w:tc>
        <w:tc>
          <w:tcPr>
            <w:tcW w:w="6836" w:type="dxa"/>
            <w:tcBorders>
              <w:top w:val="single" w:sz="4" w:space="0" w:color="000000"/>
              <w:left w:val="single" w:sz="4" w:space="0" w:color="000000"/>
              <w:bottom w:val="single" w:sz="4" w:space="0" w:color="000000"/>
            </w:tcBorders>
          </w:tcPr>
          <w:p w14:paraId="533656F6" w14:textId="590A8DED" w:rsidR="004C347F" w:rsidRPr="00DF61D1" w:rsidRDefault="001727F0" w:rsidP="00822294">
            <w:pPr>
              <w:shd w:val="clear" w:color="auto" w:fill="FFFFFF"/>
              <w:spacing w:after="0" w:line="240" w:lineRule="auto"/>
              <w:outlineLvl w:val="0"/>
              <w:rPr>
                <w:rFonts w:ascii="Times New Roman" w:eastAsia="Times New Roman" w:hAnsi="Times New Roman" w:cs="Times New Roman"/>
                <w:b/>
                <w:bCs/>
                <w:color w:val="222222"/>
                <w:kern w:val="36"/>
                <w:sz w:val="36"/>
                <w:szCs w:val="36"/>
              </w:rPr>
            </w:pPr>
            <w:r w:rsidRPr="00DF61D1">
              <w:rPr>
                <w:rFonts w:ascii="Times New Roman" w:hAnsi="Times New Roman" w:cs="Times New Roman"/>
                <w:b/>
                <w:bCs/>
                <w:sz w:val="36"/>
                <w:szCs w:val="36"/>
              </w:rPr>
              <w:t>Firewall and Wireless Access Points</w:t>
            </w:r>
          </w:p>
        </w:tc>
      </w:tr>
      <w:tr w:rsidR="005767E8" w:rsidRPr="00000958" w14:paraId="274BCADA" w14:textId="77777777" w:rsidTr="00CC6767">
        <w:trPr>
          <w:trHeight w:val="52"/>
          <w:jc w:val="center"/>
        </w:trPr>
        <w:tc>
          <w:tcPr>
            <w:tcW w:w="2794" w:type="dxa"/>
            <w:tcBorders>
              <w:top w:val="single" w:sz="4" w:space="0" w:color="000000"/>
              <w:right w:val="single" w:sz="4" w:space="0" w:color="000000"/>
            </w:tcBorders>
          </w:tcPr>
          <w:p w14:paraId="458DDFE2" w14:textId="77777777" w:rsidR="005767E8" w:rsidRPr="00000958" w:rsidRDefault="005767E8" w:rsidP="005767E8">
            <w:pPr>
              <w:widowControl w:val="0"/>
              <w:autoSpaceDE w:val="0"/>
              <w:autoSpaceDN w:val="0"/>
              <w:spacing w:before="58"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Establishing Form 470</w:t>
            </w:r>
          </w:p>
        </w:tc>
        <w:tc>
          <w:tcPr>
            <w:tcW w:w="6836" w:type="dxa"/>
            <w:tcBorders>
              <w:top w:val="single" w:sz="4" w:space="0" w:color="000000"/>
              <w:left w:val="single" w:sz="4" w:space="0" w:color="000000"/>
            </w:tcBorders>
          </w:tcPr>
          <w:p w14:paraId="6ED2C7E7" w14:textId="45A94E1B" w:rsidR="005767E8" w:rsidRPr="00000958" w:rsidRDefault="00BA1AD2" w:rsidP="00822294">
            <w:pPr>
              <w:pStyle w:val="Heading2"/>
              <w:shd w:val="clear" w:color="auto" w:fill="FFFFFF"/>
              <w:spacing w:before="0"/>
              <w:rPr>
                <w:rFonts w:ascii="Times New Roman" w:eastAsia="Times New Roman" w:hAnsi="Times New Roman" w:cs="Times New Roman"/>
                <w:b/>
                <w:bCs/>
                <w:sz w:val="24"/>
                <w:szCs w:val="24"/>
                <w:lang w:bidi="en-US"/>
              </w:rPr>
            </w:pPr>
            <w:r w:rsidRPr="00000958">
              <w:rPr>
                <w:rFonts w:ascii="Times New Roman" w:eastAsia="Times New Roman" w:hAnsi="Times New Roman" w:cs="Times New Roman"/>
                <w:b/>
                <w:bCs/>
                <w:sz w:val="24"/>
                <w:szCs w:val="24"/>
                <w:lang w:bidi="en-US"/>
              </w:rPr>
              <w:t xml:space="preserve"> </w:t>
            </w:r>
            <w:r w:rsidR="00822294" w:rsidRPr="00000958">
              <w:rPr>
                <w:rFonts w:ascii="Times New Roman" w:eastAsia="Times New Roman" w:hAnsi="Times New Roman" w:cs="Times New Roman"/>
                <w:b/>
                <w:bCs/>
                <w:color w:val="004AD4"/>
                <w:sz w:val="24"/>
                <w:szCs w:val="24"/>
              </w:rPr>
              <w:t xml:space="preserve">220003639 </w:t>
            </w:r>
            <w:r w:rsidR="00D44BA7" w:rsidRPr="00000958">
              <w:rPr>
                <w:rFonts w:ascii="Times New Roman" w:eastAsia="Times New Roman" w:hAnsi="Times New Roman" w:cs="Times New Roman"/>
                <w:b/>
                <w:bCs/>
                <w:sz w:val="24"/>
                <w:szCs w:val="24"/>
                <w:lang w:bidi="en-US"/>
              </w:rPr>
              <w:t>(10</w:t>
            </w:r>
            <w:r w:rsidR="00822294" w:rsidRPr="00000958">
              <w:rPr>
                <w:rFonts w:ascii="Times New Roman" w:eastAsia="Times New Roman" w:hAnsi="Times New Roman" w:cs="Times New Roman"/>
                <w:b/>
                <w:bCs/>
                <w:sz w:val="24"/>
                <w:szCs w:val="24"/>
                <w:lang w:bidi="en-US"/>
              </w:rPr>
              <w:t>1B</w:t>
            </w:r>
            <w:r w:rsidR="00D44BA7" w:rsidRPr="00000958">
              <w:rPr>
                <w:rFonts w:ascii="Times New Roman" w:eastAsia="Times New Roman" w:hAnsi="Times New Roman" w:cs="Times New Roman"/>
                <w:b/>
                <w:bCs/>
                <w:sz w:val="24"/>
                <w:szCs w:val="24"/>
                <w:lang w:bidi="en-US"/>
              </w:rPr>
              <w:t>-2</w:t>
            </w:r>
            <w:r w:rsidR="00822294" w:rsidRPr="00000958">
              <w:rPr>
                <w:rFonts w:ascii="Times New Roman" w:eastAsia="Times New Roman" w:hAnsi="Times New Roman" w:cs="Times New Roman"/>
                <w:b/>
                <w:bCs/>
                <w:sz w:val="24"/>
                <w:szCs w:val="24"/>
                <w:lang w:bidi="en-US"/>
              </w:rPr>
              <w:t>2</w:t>
            </w:r>
            <w:r w:rsidR="00D44BA7" w:rsidRPr="00000958">
              <w:rPr>
                <w:rFonts w:ascii="Times New Roman" w:eastAsia="Times New Roman" w:hAnsi="Times New Roman" w:cs="Times New Roman"/>
                <w:b/>
                <w:bCs/>
                <w:sz w:val="24"/>
                <w:szCs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82CE3F5" w:rsidR="005767E8" w:rsidRPr="005767E8" w:rsidRDefault="008460A8"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2CD19761" w14:textId="77777777" w:rsidR="001E6732" w:rsidRDefault="001E6732" w:rsidP="001E6732">
            <w:pPr>
              <w:widowControl w:val="0"/>
              <w:autoSpaceDE w:val="0"/>
              <w:autoSpaceDN w:val="0"/>
              <w:spacing w:before="57" w:after="0" w:line="240" w:lineRule="auto"/>
              <w:ind w:left="464" w:right="409"/>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Pr>
                <w:rFonts w:ascii="Times New Roman" w:eastAsia="Times New Roman" w:hAnsi="Times New Roman" w:cs="Times New Roman"/>
                <w:b/>
                <w:i/>
                <w:color w:val="0000FF"/>
                <w:sz w:val="24"/>
                <w:lang w:bidi="en-US"/>
              </w:rPr>
              <w:t>must be uploaded using the “Select File” and “Upload” features in the</w:t>
            </w:r>
          </w:p>
          <w:p w14:paraId="7FA9262C" w14:textId="77777777" w:rsidR="001E6732" w:rsidRPr="00AA7E4D" w:rsidRDefault="001E6732" w:rsidP="001E6732">
            <w:pPr>
              <w:widowControl w:val="0"/>
              <w:autoSpaceDE w:val="0"/>
              <w:autoSpaceDN w:val="0"/>
              <w:spacing w:before="57" w:after="0" w:line="240" w:lineRule="auto"/>
              <w:ind w:left="464" w:right="409"/>
              <w:jc w:val="center"/>
              <w:rPr>
                <w:rFonts w:ascii="Times New Roman" w:eastAsia="Times New Roman" w:hAnsi="Times New Roman" w:cs="Times New Roman"/>
                <w:b/>
                <w:i/>
                <w:iCs/>
                <w:color w:val="0A68E6"/>
                <w:sz w:val="24"/>
                <w:lang w:bidi="en-US"/>
              </w:rPr>
            </w:pPr>
            <w:r>
              <w:rPr>
                <w:rFonts w:ascii="Times New Roman" w:eastAsia="Times New Roman" w:hAnsi="Times New Roman" w:cs="Times New Roman"/>
                <w:b/>
                <w:i/>
                <w:color w:val="0000FF"/>
                <w:sz w:val="24"/>
                <w:lang w:bidi="en-US"/>
              </w:rPr>
              <w:t xml:space="preserve"> </w:t>
            </w:r>
            <w:hyperlink r:id="rId7" w:history="1">
              <w:r w:rsidRPr="00FC4181">
                <w:rPr>
                  <w:rStyle w:val="Hyperlink"/>
                  <w:rFonts w:ascii="Times New Roman" w:eastAsia="Times New Roman" w:hAnsi="Times New Roman" w:cs="Times New Roman"/>
                  <w:b/>
                  <w:i/>
                  <w:sz w:val="24"/>
                  <w:lang w:bidi="en-US"/>
                </w:rPr>
                <w:t>https://summae-rate.com/bids</w:t>
              </w:r>
            </w:hyperlink>
            <w:r>
              <w:rPr>
                <w:rFonts w:ascii="Times New Roman" w:eastAsia="Times New Roman" w:hAnsi="Times New Roman" w:cs="Times New Roman"/>
                <w:b/>
                <w:i/>
                <w:color w:val="0000FF"/>
                <w:sz w:val="24"/>
                <w:lang w:bidi="en-US"/>
              </w:rPr>
              <w:t xml:space="preserve"> web page. </w:t>
            </w:r>
          </w:p>
          <w:p w14:paraId="32284786" w14:textId="1B9C433B"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2FC75529" w:rsidR="005767E8" w:rsidRPr="005767E8" w:rsidRDefault="00F7670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031153">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031153">
              <w:rPr>
                <w:rFonts w:ascii="Times New Roman" w:eastAsia="Times New Roman" w:hAnsi="Times New Roman" w:cs="Times New Roman"/>
                <w:sz w:val="24"/>
                <w:lang w:bidi="en-US"/>
              </w:rPr>
              <w:t>Nov.</w:t>
            </w:r>
            <w:r>
              <w:rPr>
                <w:rFonts w:ascii="Times New Roman" w:eastAsia="Times New Roman" w:hAnsi="Times New Roman" w:cs="Times New Roman"/>
                <w:sz w:val="24"/>
                <w:lang w:bidi="en-US"/>
              </w:rPr>
              <w:t>19</w:t>
            </w:r>
            <w:r w:rsidR="00582BB9">
              <w:rPr>
                <w:rFonts w:ascii="Times New Roman" w:eastAsia="Times New Roman" w:hAnsi="Times New Roman" w:cs="Times New Roman"/>
                <w:sz w:val="24"/>
                <w:lang w:bidi="en-US"/>
              </w:rPr>
              <w:t>, 202</w:t>
            </w:r>
            <w:r w:rsidR="00031153">
              <w:rPr>
                <w:rFonts w:ascii="Times New Roman" w:eastAsia="Times New Roman" w:hAnsi="Times New Roman" w:cs="Times New Roman"/>
                <w:sz w:val="24"/>
                <w:lang w:bidi="en-US"/>
              </w:rPr>
              <w:t>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67EBAD08" w:rsidR="005767E8" w:rsidRPr="005767E8" w:rsidRDefault="00F7670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D66D64">
              <w:rPr>
                <w:rFonts w:ascii="Times New Roman" w:eastAsia="Times New Roman" w:hAnsi="Times New Roman" w:cs="Times New Roman"/>
                <w:sz w:val="24"/>
                <w:lang w:bidi="en-US"/>
              </w:rPr>
              <w:t xml:space="preserve">, </w:t>
            </w:r>
            <w:r w:rsidR="00031153">
              <w:rPr>
                <w:rFonts w:ascii="Times New Roman" w:eastAsia="Times New Roman" w:hAnsi="Times New Roman" w:cs="Times New Roman"/>
                <w:sz w:val="24"/>
                <w:lang w:bidi="en-US"/>
              </w:rPr>
              <w:t>Dec.1</w:t>
            </w:r>
            <w:r>
              <w:rPr>
                <w:rFonts w:ascii="Times New Roman" w:eastAsia="Times New Roman" w:hAnsi="Times New Roman" w:cs="Times New Roman"/>
                <w:sz w:val="24"/>
                <w:lang w:bidi="en-US"/>
              </w:rPr>
              <w:t>0</w:t>
            </w:r>
            <w:r w:rsidR="005767E8">
              <w:rPr>
                <w:rFonts w:ascii="Times New Roman" w:eastAsia="Times New Roman" w:hAnsi="Times New Roman" w:cs="Times New Roman"/>
                <w:sz w:val="24"/>
                <w:lang w:bidi="en-US"/>
              </w:rPr>
              <w:t>, 202</w:t>
            </w:r>
            <w:r w:rsidR="00D66D64">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79B54445" w:rsidR="005767E8" w:rsidRPr="005767E8" w:rsidRDefault="00F7670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w:t>
            </w:r>
            <w:r w:rsidR="00031153">
              <w:rPr>
                <w:rFonts w:ascii="Times New Roman" w:eastAsia="Times New Roman" w:hAnsi="Times New Roman" w:cs="Times New Roman"/>
                <w:sz w:val="24"/>
                <w:lang w:bidi="en-US"/>
              </w:rPr>
              <w:t>., Dec 2</w:t>
            </w:r>
            <w:r>
              <w:rPr>
                <w:rFonts w:ascii="Times New Roman" w:eastAsia="Times New Roman" w:hAnsi="Times New Roman" w:cs="Times New Roman"/>
                <w:sz w:val="24"/>
                <w:lang w:bidi="en-US"/>
              </w:rPr>
              <w:t>0</w:t>
            </w:r>
            <w:r w:rsidR="005767E8">
              <w:rPr>
                <w:rFonts w:ascii="Times New Roman" w:eastAsia="Times New Roman" w:hAnsi="Times New Roman" w:cs="Times New Roman"/>
                <w:sz w:val="24"/>
                <w:lang w:bidi="en-US"/>
              </w:rPr>
              <w:t>, 202</w:t>
            </w:r>
            <w:r w:rsidR="00FF1A79">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7EA39CB1" w:rsidR="005767E8" w:rsidRPr="005767E8" w:rsidRDefault="005B7916"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April</w:t>
            </w:r>
            <w:r w:rsidR="005767E8">
              <w:rPr>
                <w:rFonts w:ascii="Times New Roman" w:eastAsia="Times New Roman" w:hAnsi="Times New Roman" w:cs="Times New Roman"/>
                <w:sz w:val="24"/>
                <w:lang w:bidi="en-US"/>
              </w:rPr>
              <w:t xml:space="preserve"> 1, 202</w:t>
            </w:r>
            <w:r w:rsidR="00031153">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193D7974"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347ECD">
        <w:rPr>
          <w:rFonts w:ascii="Arial" w:eastAsia="Times New Roman" w:hAnsi="Times New Roman" w:cs="Times New Roman"/>
          <w:b/>
          <w:sz w:val="24"/>
          <w:lang w:bidi="en-US"/>
        </w:rPr>
        <w:t>Blochman Union Elementary School District</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w:t>
      </w:r>
      <w:r w:rsidR="00E04320">
        <w:rPr>
          <w:rFonts w:ascii="Times New Roman" w:hAnsi="Times New Roman" w:cs="Times New Roman"/>
          <w:sz w:val="24"/>
          <w:szCs w:val="24"/>
        </w:rPr>
        <w:t xml:space="preserve"> </w:t>
      </w:r>
      <w:r w:rsidR="006D1D15">
        <w:rPr>
          <w:rFonts w:ascii="Times New Roman" w:hAnsi="Times New Roman" w:cs="Times New Roman"/>
          <w:sz w:val="24"/>
          <w:szCs w:val="24"/>
        </w:rPr>
        <w:t xml:space="preserve">a </w:t>
      </w:r>
      <w:r w:rsidR="00E04320">
        <w:rPr>
          <w:rFonts w:ascii="Times New Roman" w:hAnsi="Times New Roman" w:cs="Times New Roman"/>
          <w:sz w:val="24"/>
          <w:szCs w:val="24"/>
        </w:rPr>
        <w:t>firewall and wireless access points</w:t>
      </w:r>
      <w:r w:rsidR="00E043AE">
        <w:rPr>
          <w:rFonts w:ascii="Times New Roman" w:hAnsi="Times New Roman" w:cs="Times New Roman"/>
          <w:sz w:val="24"/>
          <w:szCs w:val="24"/>
        </w:rPr>
        <w:t xml:space="preserve"> for its </w:t>
      </w:r>
      <w:r w:rsidR="00347ECD">
        <w:rPr>
          <w:rFonts w:ascii="Arial" w:eastAsia="Times New Roman" w:hAnsi="Times New Roman" w:cs="Times New Roman"/>
          <w:b/>
          <w:sz w:val="24"/>
          <w:lang w:bidi="en-US"/>
        </w:rPr>
        <w:t>Blochman Union Elementary School District</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05F85B06" w14:textId="23C8ADC1" w:rsidR="002A36D0" w:rsidRDefault="002A36D0" w:rsidP="00261076">
      <w:pPr>
        <w:widowControl w:val="0"/>
        <w:spacing w:after="0" w:line="240" w:lineRule="auto"/>
        <w:rPr>
          <w:rFonts w:ascii="Times New Roman" w:hAnsi="Times New Roman" w:cs="Times New Roman"/>
          <w:sz w:val="24"/>
          <w:szCs w:val="24"/>
        </w:rPr>
      </w:pPr>
    </w:p>
    <w:p w14:paraId="0B62012F" w14:textId="66A5C87A" w:rsidR="001E6732" w:rsidRDefault="001E6732" w:rsidP="001E6732">
      <w:pPr>
        <w:widowControl w:val="0"/>
        <w:spacing w:after="0" w:line="240" w:lineRule="auto"/>
        <w:rPr>
          <w:rFonts w:ascii="Times New Roman" w:hAnsi="Times New Roman" w:cs="Times New Roman"/>
          <w:b/>
          <w:bCs/>
          <w:sz w:val="24"/>
          <w:szCs w:val="24"/>
        </w:rPr>
      </w:pPr>
      <w:r w:rsidRPr="0085795B">
        <w:rPr>
          <w:rFonts w:ascii="Times New Roman" w:hAnsi="Times New Roman" w:cs="Times New Roman"/>
          <w:b/>
          <w:bCs/>
          <w:sz w:val="24"/>
          <w:szCs w:val="24"/>
        </w:rPr>
        <w:t xml:space="preserve">All Bids must be uploaded using the “Select File” and “Upload File” features in the </w:t>
      </w:r>
      <w:hyperlink r:id="rId10" w:history="1">
        <w:r w:rsidRPr="0085795B">
          <w:rPr>
            <w:rStyle w:val="Hyperlink"/>
            <w:rFonts w:ascii="Times New Roman" w:hAnsi="Times New Roman" w:cs="Times New Roman"/>
            <w:b/>
            <w:bCs/>
            <w:sz w:val="24"/>
            <w:szCs w:val="24"/>
          </w:rPr>
          <w:t>https://summae-rate.com/bids</w:t>
        </w:r>
      </w:hyperlink>
      <w:r w:rsidRPr="0085795B">
        <w:rPr>
          <w:rFonts w:ascii="Times New Roman" w:hAnsi="Times New Roman" w:cs="Times New Roman"/>
          <w:b/>
          <w:bCs/>
          <w:sz w:val="24"/>
          <w:szCs w:val="24"/>
        </w:rPr>
        <w:t xml:space="preserve"> web page. B</w:t>
      </w:r>
      <w:r>
        <w:rPr>
          <w:rFonts w:ascii="Times New Roman" w:hAnsi="Times New Roman" w:cs="Times New Roman"/>
          <w:b/>
          <w:bCs/>
          <w:sz w:val="24"/>
          <w:szCs w:val="24"/>
        </w:rPr>
        <w:t>idders must also</w:t>
      </w:r>
      <w:r w:rsidRPr="0085795B">
        <w:rPr>
          <w:rFonts w:ascii="Times New Roman" w:hAnsi="Times New Roman" w:cs="Times New Roman"/>
          <w:b/>
          <w:bCs/>
          <w:sz w:val="24"/>
          <w:szCs w:val="24"/>
        </w:rPr>
        <w:t xml:space="preserve"> include the Signature Page located at the bottom of this RFP.</w:t>
      </w:r>
    </w:p>
    <w:p w14:paraId="0108DE65" w14:textId="4C4875A6" w:rsidR="00DF61D1" w:rsidRDefault="00DF61D1" w:rsidP="001E6732">
      <w:pPr>
        <w:widowControl w:val="0"/>
        <w:spacing w:after="0" w:line="240" w:lineRule="auto"/>
        <w:rPr>
          <w:rFonts w:ascii="Times New Roman" w:hAnsi="Times New Roman" w:cs="Times New Roman"/>
          <w:b/>
          <w:bCs/>
          <w:sz w:val="24"/>
          <w:szCs w:val="24"/>
        </w:rPr>
      </w:pPr>
    </w:p>
    <w:p w14:paraId="3F90D89D" w14:textId="4BF57A15" w:rsidR="00DF61D1" w:rsidRPr="008B273F" w:rsidRDefault="00DF61D1" w:rsidP="00DF61D1">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No walk through is scheduled.</w:t>
      </w:r>
    </w:p>
    <w:p w14:paraId="5BE94543" w14:textId="1F12F7CE" w:rsidR="00897C62" w:rsidRDefault="00897C62" w:rsidP="001E6732">
      <w:pPr>
        <w:widowControl w:val="0"/>
        <w:spacing w:after="0" w:line="240" w:lineRule="auto"/>
        <w:rPr>
          <w:rFonts w:ascii="Times New Roman" w:hAnsi="Times New Roman" w:cs="Times New Roman"/>
          <w:b/>
          <w:bCs/>
          <w:sz w:val="24"/>
          <w:szCs w:val="24"/>
        </w:rPr>
      </w:pPr>
    </w:p>
    <w:p w14:paraId="35B952DB" w14:textId="121775B8" w:rsidR="00897C62" w:rsidRPr="0085795B" w:rsidRDefault="00897C62" w:rsidP="00897C62">
      <w:pPr>
        <w:widowControl w:val="0"/>
        <w:spacing w:after="0" w:line="240" w:lineRule="auto"/>
        <w:jc w:val="center"/>
        <w:rPr>
          <w:rFonts w:ascii="Times New Roman" w:hAnsi="Times New Roman" w:cs="Times New Roman"/>
          <w:b/>
          <w:bCs/>
          <w:sz w:val="24"/>
          <w:szCs w:val="24"/>
        </w:rPr>
      </w:pPr>
      <w:r>
        <w:rPr>
          <w:b/>
          <w:bCs/>
          <w:noProof/>
        </w:rPr>
        <w:drawing>
          <wp:inline distT="0" distB="0" distL="0" distR="0" wp14:anchorId="290BCC6B" wp14:editId="62354EAF">
            <wp:extent cx="1408309" cy="1408309"/>
            <wp:effectExtent l="0" t="0" r="1905" b="1905"/>
            <wp:docPr id="1" name="Picture 1" descr="A black and white drawing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person's 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362" cy="1409362"/>
                    </a:xfrm>
                    <a:prstGeom prst="rect">
                      <a:avLst/>
                    </a:prstGeom>
                    <a:noFill/>
                    <a:ln>
                      <a:noFill/>
                    </a:ln>
                  </pic:spPr>
                </pic:pic>
              </a:graphicData>
            </a:graphic>
          </wp:inline>
        </w:drawing>
      </w:r>
    </w:p>
    <w:p w14:paraId="3F194FD0" w14:textId="77777777" w:rsidR="00AB0E94" w:rsidRPr="00142DD8" w:rsidRDefault="00AB0E94" w:rsidP="00261076">
      <w:pPr>
        <w:widowControl w:val="0"/>
        <w:spacing w:after="0" w:line="240" w:lineRule="auto"/>
        <w:rPr>
          <w:rFonts w:ascii="Times New Roman" w:hAnsi="Times New Roman" w:cs="Times New Roman"/>
          <w:sz w:val="24"/>
          <w:szCs w:val="24"/>
        </w:rPr>
      </w:pPr>
    </w:p>
    <w:p w14:paraId="2D7DF1C1" w14:textId="53B0544D" w:rsidR="00AE20CC" w:rsidRDefault="00AE20CC" w:rsidP="00261076">
      <w:pPr>
        <w:widowControl w:val="0"/>
        <w:spacing w:after="0" w:line="240" w:lineRule="auto"/>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24B550E6" w:rsidR="00261076" w:rsidRPr="00BF5B15" w:rsidRDefault="00E8069F"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proofErr w:type="gramStart"/>
      <w:r>
        <w:rPr>
          <w:rFonts w:ascii="Times New Roman" w:hAnsi="Times New Roman"/>
          <w:b/>
          <w:bCs/>
          <w:color w:val="000000"/>
          <w:sz w:val="24"/>
          <w:szCs w:val="24"/>
        </w:rPr>
        <w:t>Blochman Union Elem School District</w:t>
      </w:r>
      <w:r w:rsidR="00E043AE" w:rsidRPr="00E043AE">
        <w:rPr>
          <w:rFonts w:ascii="Times New Roman" w:hAnsi="Times New Roman"/>
          <w:color w:val="000000"/>
          <w:sz w:val="24"/>
          <w:szCs w:val="24"/>
        </w:rPr>
        <w:t>,</w:t>
      </w:r>
      <w:proofErr w:type="gramEnd"/>
      <w:r w:rsidR="00E043AE" w:rsidRPr="00E043AE">
        <w:rPr>
          <w:rFonts w:ascii="Times New Roman" w:hAnsi="Times New Roman"/>
          <w:color w:val="000000"/>
          <w:sz w:val="24"/>
          <w:szCs w:val="24"/>
        </w:rPr>
        <w:t xml:space="preserve"> is comprised of students in grades kindergarten through </w:t>
      </w:r>
      <w:r>
        <w:rPr>
          <w:rFonts w:ascii="Times New Roman" w:hAnsi="Times New Roman"/>
          <w:color w:val="000000"/>
          <w:sz w:val="24"/>
          <w:szCs w:val="24"/>
        </w:rPr>
        <w:t>eighth</w:t>
      </w:r>
      <w:r w:rsidR="00E043AE" w:rsidRPr="00E043AE">
        <w:rPr>
          <w:rFonts w:ascii="Times New Roman" w:hAnsi="Times New Roman"/>
          <w:color w:val="000000"/>
          <w:sz w:val="24"/>
          <w:szCs w:val="24"/>
        </w:rPr>
        <w:t xml:space="preserve"> 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Pr>
          <w:rFonts w:ascii="Times New Roman" w:hAnsi="Times New Roman"/>
          <w:color w:val="000000"/>
          <w:sz w:val="24"/>
          <w:szCs w:val="24"/>
        </w:rPr>
        <w:t>177</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7A04E385"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tblGrid>
      <w:tr w:rsidR="00E8069F" w:rsidRPr="00BF5B15" w14:paraId="4185381E" w14:textId="77777777" w:rsidTr="00B0735A">
        <w:trPr>
          <w:trHeight w:val="278"/>
        </w:trPr>
        <w:tc>
          <w:tcPr>
            <w:tcW w:w="2395" w:type="dxa"/>
          </w:tcPr>
          <w:p w14:paraId="660F8DD6" w14:textId="77777777" w:rsidR="00E8069F" w:rsidRPr="00BF5B15" w:rsidRDefault="00E8069F"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E8069F" w:rsidRPr="00BF5B15" w:rsidRDefault="00E8069F"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62F77DE" w:rsidR="00E8069F" w:rsidRPr="00BF5B15" w:rsidRDefault="00E8069F"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E8069F" w:rsidRPr="00BF5B15" w14:paraId="5E480097" w14:textId="77777777" w:rsidTr="00B0735A">
        <w:trPr>
          <w:trHeight w:val="273"/>
        </w:trPr>
        <w:tc>
          <w:tcPr>
            <w:tcW w:w="2395" w:type="dxa"/>
          </w:tcPr>
          <w:p w14:paraId="2EC69F6E" w14:textId="0A3FA6C9" w:rsidR="00E8069F" w:rsidRPr="00D321E2" w:rsidRDefault="00E8069F"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Pr>
                <w:rFonts w:ascii="Arial" w:hAnsi="Arial" w:cs="Arial"/>
                <w:color w:val="222222"/>
                <w:sz w:val="21"/>
                <w:szCs w:val="21"/>
                <w:shd w:val="clear" w:color="auto" w:fill="FFFFFF"/>
              </w:rPr>
              <w:t>143976</w:t>
            </w:r>
          </w:p>
          <w:p w14:paraId="14DF1236" w14:textId="77777777" w:rsidR="00E8069F" w:rsidRPr="00BF5B15" w:rsidRDefault="00E8069F"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62B82699" w:rsidR="00E8069F" w:rsidRPr="001E6732" w:rsidRDefault="00E8069F"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Pr="001E6732">
              <w:rPr>
                <w:rFonts w:ascii="Arial" w:hAnsi="Arial" w:cs="Arial"/>
                <w:b/>
                <w:bCs/>
                <w:color w:val="222222"/>
                <w:sz w:val="21"/>
                <w:szCs w:val="21"/>
                <w:shd w:val="clear" w:color="auto" w:fill="FFFFFF"/>
              </w:rPr>
              <w:t>BLOCHMAN UNION ELEM SCH DIST</w:t>
            </w:r>
          </w:p>
        </w:tc>
        <w:tc>
          <w:tcPr>
            <w:tcW w:w="2793" w:type="dxa"/>
          </w:tcPr>
          <w:p w14:paraId="080CF875" w14:textId="21C2BB04" w:rsidR="00E8069F" w:rsidRPr="00BF5B15" w:rsidRDefault="00E8069F"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District</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5C834B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Entities included in this RFP are listed below; bidders should rely on this RFP list of entities as the definitive list of entities participating in this RFP</w:t>
      </w:r>
      <w:proofErr w:type="gramStart"/>
      <w:r w:rsidRPr="00BF5B15">
        <w:rPr>
          <w:rFonts w:ascii="Times New Roman" w:eastAsia="Times New Roman" w:hAnsi="Times New Roman" w:cs="Times New Roman"/>
          <w:color w:val="263238"/>
          <w:sz w:val="24"/>
          <w:szCs w:val="24"/>
          <w:lang w:bidi="en-US"/>
        </w:rPr>
        <w:t xml:space="preserve">. </w:t>
      </w:r>
      <w:r w:rsidR="003E5530">
        <w:rPr>
          <w:rFonts w:ascii="Times New Roman" w:eastAsia="Times New Roman" w:hAnsi="Times New Roman" w:cs="Times New Roman"/>
          <w:color w:val="263238"/>
          <w:sz w:val="24"/>
          <w:szCs w:val="24"/>
          <w:lang w:bidi="en-US"/>
        </w:rPr>
        <w:t xml:space="preserve"> </w:t>
      </w:r>
      <w:proofErr w:type="gramEnd"/>
    </w:p>
    <w:p w14:paraId="60E8A758" w14:textId="6A7BA8F4" w:rsidR="00261076" w:rsidRDefault="005B7916" w:rsidP="00261076">
      <w:pPr>
        <w:widowControl w:val="0"/>
        <w:autoSpaceDE w:val="0"/>
        <w:autoSpaceDN w:val="0"/>
        <w:spacing w:after="0" w:line="240" w:lineRule="auto"/>
        <w:rPr>
          <w:rFonts w:ascii="Times New Roman" w:eastAsia="Times New Roman" w:hAnsi="Times New Roman" w:cs="Times New Roman"/>
          <w:lang w:bidi="en-US"/>
        </w:rPr>
      </w:pPr>
      <w:r>
        <w:rPr>
          <w:noProof/>
        </w:rPr>
        <w:pict w14:anchorId="2DF6A744">
          <v:group id="Canvas 294" o:spid="_x0000_s1064"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4m8QkAAJ+pAAAOAAAAZHJzL2Uyb0RvYy54bWzsXW2vmzYU/j5p/wHxfQ3G2EDU3Gpq1WnS&#10;Xqp1+wHchLxoCTCgN7f79Ts2xLyddNK6GiietFtuwiWOeXj8nOcc2y9fPV/O1lOcF6c02djkhWNb&#10;cbJNd6fksLH/+P3td4FtFWWU7KJzmsQb+2Nc2K8evv3m5TVbx256TM+7OLfgIkmxvmYb+1iW2Xq1&#10;KrbH+BIVL9IsTuDNfZpfohJ+zQ+rXR5d4eqX88p1HL66pvkuy9NtXBTw6pvqTftBXn+/j7flr/t9&#10;EZfWeWND20r5M5c/H8XP1cPLaH3Io+x42tbNiP5DKy7RKYEPVZd6E5WR9SE/DS51OW3ztEj35Ytt&#10;elml+/1pG8vvAN+GOL1v8zpKnqJCfpkt9M6tgXD0P1738SDanaRvT+cz9MYKrr4Wr4l/r3B/YvH2&#10;OemeVL0iz63PuWZwA4tM3cri85r4/hhlsfzmxXr7y9O73DrtNrbrwj1MogsA6Te4tVFyOMeW54q7&#10;KD4fTnyfvctFU4vsp3T7Z2El6esjnBZ/n+fp9RhHO2gXEedD21t/IH4p4E+tx+vP6Q4uH30oU3lD&#10;n/f5RVwQbpX1DC0IQydgtvVxYzOfsAo/8XNpbeFNRilzfWjiFt52QziWJ6yi9e0qWV6UP8TpxRIH&#10;GzuHLyE/JXr6qShFq6L17ZROh3/iDlQNrzqgfH58rvviMd19hO+TpxXk4RGFg2Oa/21bV4D7xk7g&#10;ebSt848J9Ih4Mm4H+e3g8XYQJVv4w41d2lZ1+LqUT1DVz99DT709ycaLXqw+t+5fAETVMA3IIAgy&#10;6DjIID4Lwh42vJBxeH1cbMiHSMK/uVULgoiLQMQbByLU4z6ph58bfcBrjABuRqWPimdvnbI4FqEI&#10;ROST3Bkuvtz4Qn1OuVcNMBhGiEfcYBI0orh1cRjxEIzw2xOjWYMQHoQ9GmGUOMxRNMIZwKmSFhpV&#10;iKQRxa2Lgwj0/kCm+uNAhAfcoz0xwlyHEsDN+CON4tbFQYQjEAnGgUjAOO/HMiRwgVoUi4wTy0gW&#10;UdS6OIj4CERCnRAhLqO1GMEwQiGgmQKJKGZdHELAXeuPM3BHagtAhxRxfUoBAuB39FWIcEfk+MJp&#10;1aT/boMU6fm0E/6UdBzyw+Prc249RcLSk/+JLwxX75x217Fq+yX/ipfirw9RHt9skpB4nrJKPOYL&#10;N6qyS+p3KsukfueebWJ9yPLT4Qh2DJHeT5IKC2U/AQslRNCk3AKDppZJqvxPg6bDHatW0MKAm7Ra&#10;tcBM9eDV5yYvcCBEMvSEubqTpSeKOLxMuRAa6AkMf+oISTwc7eQYZ0Y7JEkwXTghbjBTjoWBUzsn&#10;aIa7JsV8b7hDnGOm3A0NcHIbKX5T3NH6llqQuUrJT8RxiRPIAdEI8iqPOV2KQpxmpuwQDZhqj3hD&#10;UDWDngHVIDk+XVCBgBnocuWgaABVq4SCOJSSKj3RcNVUXCVlxv6rS/CVlVJQxJpmqjd0IKQZyoBZ&#10;fA9CSXB4GoQ0o5k8+qzkVsc0Koy3lH2Zwi2KeNlMq5fduAE4ptqegIFVt9JruoMZYoBzyRaa6jXa&#10;CgnFVSOSDKjmAirEB+cj+eCoQpJIqqI53wmqzK0J5iYezInMUV93c51+eJeqEOHdUBUxsOrVOk92&#10;BPQQV5zrdMXb4ZzrhLyqeW+Jdc+homJ+zJp4WUei1ObS4jmYIDFkHp1Od+DB3JYqb0IwiEwl4q8K&#10;spdYGu8h7jUfyb0GiNCwEvEtFlHlJEZGz0RGe4h7zXW6124r5EcxZUL+m8oZTu6aruBB/Guu07/u&#10;6GgMV42ONlw1F65CLG8+luWNSSSJpFvIT0z+Vk5JreehTpeqENObqzBEQyKlR1XD4KyhKgj5Daw6&#10;05unCyvE9IZZ5xqrvptJ8ARie1Z9eCPWJxPPKdN2cSE/YmH7qjc0ME+rGolQPwSQ3EvhSgoyKdw0&#10;n/poJgqm+wa2r9PAbsdzKKba8ZyB1UykN0MMbF+ngd0RSRiuGpFkQDUXUCGWt6/T8u6MfwF3wf6+&#10;U8JkhHd/XaHJCm+YbTIcAXW65F2qQmDVUJWB1XxghRjlvlajvBXPMQ7Flz2yckM/9MRk1yqHO+KK&#10;IkTpzaVFdBBADblHp+1N3YCyeuk7gqFkMlG/Eo+LwwjiYvtjudiMcVH3cUf1GCU9FyWNeNi+Tg+7&#10;HfWjmDJR/wyzuDCfZDCcVVmtMQq3MVw1Utpw1Vy4CnG9g7Fcb0widbK4pnB7Huk2KEUbUpWKQzTk&#10;UjpRPwarhqpM4fZson6YUTKElQpdNMCqXbjt09Ct6j0nmMVVvu3S4jmYHjKEiOoNHRBpTcSFhd5Y&#10;tZBbA5FmPDMaaSYaCeaGDDGl08Nux3Mopkw8N8N4jiMedqDTw+6IJAxXjUgyXDUXrkI870Cn593O&#10;4oJECp27C1GYdNt8hDfikgc6XfIeVQ1h1VCVgdV8YIUY5YFWo7yVxQ0J8/s7EMGC/x6FIG8CWVyl&#10;NxcX0SG2d7V/hybbG3ZQC1i9YjfBUOJyIZ5uIBlx2X+i1OPiQILY2KFWG9vzmfspkPiUC1d09Cn9&#10;RInBpWFE7DLYL8YOdZrSLoMd7VwgClgMGSUSwh2nqRkak0iUtlscSBCLOdRqMfuwXVm9YjYKEuaz&#10;UKzRPj6TKKW2OJAgJnOo02QGuUE+KUkI7F8FS3OMDxKgs3qS3eJAgrjGVXyhSbdSL4S9Vz413BBv&#10;IvurukqqLQ4liAkcKhmvIV/lccAIlBHdFSVTqVF1lVRbHEbgGR4IVyXjNWCk7emGxKnXwjc5TVj3&#10;d64bV8FkiSGmlOrXganWSkMopkxOc4Y5TR9xdEMVJ2iAVSdRgOGqSRSYnOZMcpowH2PAVTAK3QIL&#10;DajqDoCwObBJaoq1eee9dyNMyUBgpSIRDbDqkdUQVw1ZmazmbLKaIpjqy3VY514nXTVpTVgYzaXg&#10;OXfmlAU+p8CfE3CHlLO6tJgO5lggIFHdoYF8YM1Yj9VGM4oS6lHqTcJpdpW3ujiYIE4zcVR3aIBJ&#10;2x/CYTKRHc0rkhPe6uJAgjjNYvHw2njXAJKWPoZiCc6rVcExgwgkj2yY2Xtj4ntvBIgxTRydznSr&#10;6h0HVdshMriaSTAvlsMYqmOdbnY76kKB1URdBlVzQRViZ8OevWMNgUjMJaEkIy4z4XQ+oTxiZxNH&#10;p5/dVlYuh51f7zqPhqvmwlWYnd3so6NZrhtQhQTKZOZuZsO0iaGsIjrN7LZcR0Fl5PoME7ow0wLB&#10;lU4zuyvXEWXVyHWjrGajrGByBoIrnf53B1cYYTW4MtJqJtIKpnMgqNJplxtU1RVx+Y8JlMd9FdoK&#10;5n8gqNLpr8MgDHOGXJcHg11BJlOeq6zh6aRfVtdsu4b/H15CuuGQR9nxtH0TlVH7dzi+ZuvYTY/p&#10;eRfnD/8AAAD//wMAUEsDBBQABgAIAAAAIQBJIc7C5QAAAA8BAAAPAAAAZHJzL2Rvd25yZXYueG1s&#10;TI9Na4NAEIbvhf6HZQq9JWukilrXUAI9tKWFpB/Q20anKnFnxV2N6a/v5JTOaT5e3veZfD2bTkw4&#10;uNaSgtUyAIFU2qqlWsHH++MiAeG8pkp3llDBCR2si+urXGeVPdIWp52vBZuQy7SCxvs+k9KVDRrt&#10;lrZH4tuPHYz2PA61rAZ9ZHPTyTAIYml0S5zQ6B43DZaH3WgUbO30+r05PeHvS1I/j1+fkTy8RUrd&#10;3swP9yA8zv4ihjM+o0PBTHs7UuVEp2BxF6Qs5SaMwzQEwZokjVYg9ucdVwyyyOX/P4o/AAAA//8D&#10;AFBLAQItABQABgAIAAAAIQC2gziS/gAAAOEBAAATAAAAAAAAAAAAAAAAAAAAAABbQ29udGVudF9U&#10;eXBlc10ueG1sUEsBAi0AFAAGAAgAAAAhADj9If/WAAAAlAEAAAsAAAAAAAAAAAAAAAAALwEAAF9y&#10;ZWxzLy5yZWxzUEsBAi0AFAAGAAgAAAAhAELrvibxCQAAn6kAAA4AAAAAAAAAAAAAAAAALgIAAGRy&#10;cy9lMm9Eb2MueG1sUEsBAi0AFAAGAAgAAAAhAEkhzsLlAAAADwEAAA8AAAAAAAAAAAAAAAAASwwA&#10;AGRycy9kb3ducmV2LnhtbFBLBQYAAAAABAAEAPMAAAB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59436;height:25819;visibility:visible;mso-wrap-style:square">
              <v:fill o:detectmouseclick="t"/>
              <v:path o:connecttype="none"/>
            </v:shape>
            <v:rect id="Rectangle 42" o:spid="_x0000_s1066"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67"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68"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69"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70"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71"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72"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73"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74"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75"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76"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77"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78"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79"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80"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81"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82"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83"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84"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85"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86"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87"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88"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89"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90"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91"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92"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93"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94"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95"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96"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97"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98"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99"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100"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101"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102"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103"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104"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105"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106"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107"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108"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109"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110"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111"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112"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113"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114"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115"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116"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117"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118"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119"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120"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121"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122"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123"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124"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125"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126"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127"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128"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129"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130"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131"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132"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133"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134"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135"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136"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137"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38"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39"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w:r>
      <w:r>
        <w:rPr>
          <w:noProof/>
        </w:rPr>
        <w:pict w14:anchorId="4E7CBECF">
          <v:group id="Canvas 219" o:spid="_x0000_s1028"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SSSwYAAIZMAAAOAAAAZHJzL2Uyb0RvYy54bWzsnG1vqzYUx99P2ndAvF+Dn3iIml5VrTpN&#10;utuudrcPQAh50BLMDG3affodG3AIuL3T3WboSF+kJICxDz+fc/y34frD82HvPKWi2PFs4aIrz3XS&#10;LOGrXbZZuL/9+vBd6DpFGWereM+zdOG+pIX74ebbb66P+TzFfMv3q1Q4UEhWzI/5wt2WZT6fzYpk&#10;mx7i4ornaQY711wc4hK+is1sJeIjlH7Yz7Dn+bMjF6tc8CQtCvj1vtrp3qjy1+s0KX9er4u0dPYL&#10;F+pWqk+hPpfyc3ZzHc83Is63u6SuRvwVtTjEuwwuqou6j8vYeRS7XlGHXSJ4wdflVcIPM75e75JU&#10;tQFag7xOa+7i7CkuVGMSsE5TQdj6F8tdbmS9C77frR52+736IjbLu71wnmKw2sPtw+09loaanR02&#10;g2rM5cny/xFuZCpP3WfyM+OyqOoU+Ys6tj7mmMOdLnJ9z4t/1pbP2zhPlYmKefLT0yfh7FYLF2PX&#10;yeIDAPcLIBBnm33qMNkGeXU47HP+SaiW5h958nvhZPxuC0elt0Lw4zaNV1ArpNp8doL8UsCpzvL4&#10;I19B6fFjydV9f16LgywQ7qjzvHBpxIgHvL1AMTioMUufSyeBnYwQJn90EtiNI9hWVQPzNqXkoii/&#10;T/nBkRsLV0Ab1FXip49FWZm1OeTM3G/Yv6p4ZYDyeflcmSlobLLkqxdol+BVD4EeDRtbLv50nSP0&#10;joWbQfd1nf0PGVhGdqRmQzQby2YjzhI4ceGWrlNt3pWqw1X2vgWLPexUI6Q1q+sqQhQWVQX/ez5I&#10;nw+/sYVlPgJEWYcQwMdHQMUICAkbq0yNENonRPcWu4QQ6kWRchHxvPEhhPoMwY8jICSaKiFg/W6M&#10;0b3FAiEk8j1wFCrImBBBFOFwFE6EKPd2cvfTCTN+HxHdXSwg0kpDGEIyokDycHIijCCPedqJ+IwO&#10;lYgQlWxNkZCgTwjS3cUuIn6IoqiTiTDsEQQ/Dh9niBqDTBERGEJ34wzS/cUuIiHDqDucQSH2w1Gk&#10;IoRMNBUB99lHRPcXC4hggrFKR2FEa2KEQOwZhROhEyUERQZFBOn+YgGRVi6CPEhMQR45S0ZGg4jK&#10;gSYYZ1BkEEWQ7jA2EMF+gMFNSNXMg0CDuvkqDVng1/kqq3d/vWz2uubpqT/J57nm+Tf1tS9KJcUf&#10;j7FIGzktQpRqSY0yZYJKVqv3VNJavec1ec15zMVuswXZDimtMONSalsPLrWhyKCkVHdWdjIbWLXF&#10;WI/hajjaGgZRj4R6FDSgHEu0BPlFgv5fcqxKHXo5rraGBUaQR/yIAQRKsTdAMprwpEXIyTFiEFOQ&#10;toYFRmgrPKEoxJVa0vYjl/BUT/n0Z3/GG55MCoxNHbedGJMQBf5YE2NtlMl5HpMCY1XHbXkeEtCg&#10;J+ReEuNmsvk9eZ6or9rA8AdGHQMkxoyFuCv+4iiIqByQVQsVhpwf0L1tYr4H1jgZILGp/hIaRGGz&#10;lsVEyVgyYxhD111ncowY5F9YAWXRkbTiE2OIwJwiXPySGb9r4QZ7BskYDyUZB4SGVXA8YTUaz6P9&#10;8eQ8j0EyxkNJxgEOQnLxPEpMfueexyAZYz0vY0PqaUnGEQKxp4MVLImgpJmJwNGAmTHVcX5yvgfU&#10;2q5mjG1qxph6jIT1fJWJEsiKYKl3M3wacGKB6qg9OUgMojG2KRqrzPgtSALig+I3/PoqqsP25Bgx&#10;KMBYi50Wog0OYG5XTgHLySeTI0G+5510mCEdiQ7Ck4PEoAFjrUrZgCSCyQGYcnoVEhawSO4f/Kki&#10;qoPw5CAxKLqnxe8WICEMJgfeggRRwmB98Qgg0UF4apBI83fz1tP6dxuQ+BHCzVoHY7hBdCSPn1Ed&#10;hidHiUHTPS2Bt0AJDYkf1I8XGZOS0ahvOgpPjhGDQHtaA2+DkZbuXysiF90f3Pv7Vt9gWXg/QOnR&#10;oQ2sTuob9sKQddcBh4Gvnq4fPNOtntue4FpxDOvC+4zowaEFRhD1YNl0NRwyQkIoIeqA4SmZ7PQQ&#10;dNw+JXp0aIGSdhJjpmQkDyaxycr4yKDQEj04tMHIKYkBRBC8uOWyeEGKke88iTHodUSPJi1gBRYE&#10;ORdjFsKDBedEjWXkxEY4LVS9KipP1KNX9Yu55Nu02t/V64JOrw+7+QsAAP//AwBQSwMEFAAGAAgA&#10;AAAhAC2PItDkAAAADwEAAA8AAABkcnMvZG93bnJldi54bWxMj01PwkAQhu8m/ofNmHiDLSsUWrsl&#10;xo8LJhhB43Xojm1lP5ruAvXfs5z0Nh9P3nmmWA5GsyP1vnVWwmScACNbOdXaWsLH9mW0AOYDWoXa&#10;WZLwSx6W5fVVgblyJ/tOx02oWQyxPkcJTQhdzrmvGjLox64jG3ffrjcYYtvXXPV4iuFGc5EkKTfY&#10;2nihwY4eG6r2m4OR8Pr0uU6n+58Vfq2f55l+S3FGKylvb4aHe2CBhvAHw0U/qkMZnXbuYJVnWsJo&#10;mmQRjYVIRSaARSabzSfAdpeZEHcCeFnw/3+UZwAAAP//AwBQSwECLQAUAAYACAAAACEAtoM4kv4A&#10;AADhAQAAEwAAAAAAAAAAAAAAAAAAAAAAW0NvbnRlbnRfVHlwZXNdLnhtbFBLAQItABQABgAIAAAA&#10;IQA4/SH/1gAAAJQBAAALAAAAAAAAAAAAAAAAAC8BAABfcmVscy8ucmVsc1BLAQItABQABgAIAAAA&#10;IQBbfUSSSwYAAIZMAAAOAAAAAAAAAAAAAAAAAC4CAABkcnMvZTJvRG9jLnhtbFBLAQItABQABgAI&#10;AAAAIQAtjyLQ5AAAAA8BAAAPAAAAAAAAAAAAAAAAAKUIAABkcnMvZG93bnJldi54bWxQSwUGAAAA&#10;AAQABADzAAAAtgkAAAAA&#10;">
            <v:shape id="_x0000_s1029" type="#_x0000_t75" style="position:absolute;width:63373;height:25781;visibility:visible;mso-wrap-style:square" filled="t" fillcolor="#fafad2">
              <v:fill o:detectmouseclick="t"/>
              <v:path o:connecttype="none"/>
            </v:shape>
            <v:rect id="Rectangle 5" o:spid="_x0000_s1030"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031"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032"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033"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034"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035"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036"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037"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038"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039"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040"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041"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042"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043"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044"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045"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046"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047"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048"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049"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050"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051"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052"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053"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054"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055"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056"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057"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058"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059"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060"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061"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062"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063"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836" w:type="dxa"/>
        <w:tblLayout w:type="fixed"/>
        <w:tblCellMar>
          <w:left w:w="0" w:type="dxa"/>
          <w:right w:w="0" w:type="dxa"/>
        </w:tblCellMar>
        <w:tblLook w:val="01E0" w:firstRow="1" w:lastRow="1" w:firstColumn="1" w:lastColumn="1" w:noHBand="0" w:noVBand="0"/>
      </w:tblPr>
      <w:tblGrid>
        <w:gridCol w:w="103"/>
        <w:gridCol w:w="2388"/>
        <w:gridCol w:w="3045"/>
        <w:gridCol w:w="1486"/>
        <w:gridCol w:w="1822"/>
      </w:tblGrid>
      <w:tr w:rsidR="00261076" w:rsidRPr="00BF5B15" w14:paraId="560C65D9" w14:textId="77777777" w:rsidTr="000F7C0B">
        <w:trPr>
          <w:trHeight w:val="272"/>
        </w:trPr>
        <w:tc>
          <w:tcPr>
            <w:tcW w:w="103"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0F7C0B">
        <w:trPr>
          <w:trHeight w:val="556"/>
        </w:trPr>
        <w:tc>
          <w:tcPr>
            <w:tcW w:w="103"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7E70FD0A" w:rsidR="00261076" w:rsidRPr="00BF5B15" w:rsidRDefault="00E8069F"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Arial" w:hAnsi="Arial" w:cs="Arial"/>
                <w:color w:val="222222"/>
                <w:sz w:val="21"/>
                <w:szCs w:val="21"/>
                <w:shd w:val="clear" w:color="auto" w:fill="FFFFFF"/>
              </w:rPr>
              <w:t>BENJAMIN FOXEN ELEM SCHOOL</w:t>
            </w:r>
          </w:p>
        </w:tc>
        <w:tc>
          <w:tcPr>
            <w:tcW w:w="3045" w:type="dxa"/>
            <w:tcBorders>
              <w:top w:val="single" w:sz="8" w:space="0" w:color="008000"/>
              <w:bottom w:val="single" w:sz="8" w:space="0" w:color="008000"/>
            </w:tcBorders>
          </w:tcPr>
          <w:p w14:paraId="6720E4DC" w14:textId="7719295B" w:rsidR="000E3927" w:rsidRPr="00BF5B15" w:rsidRDefault="000F7C0B"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shd w:val="clear" w:color="auto" w:fill="FFFFFF"/>
              </w:rPr>
              <w:t>4949 FOXEN CANYON RD SANTA MARIA, CA 93454-9666</w:t>
            </w:r>
          </w:p>
        </w:tc>
        <w:tc>
          <w:tcPr>
            <w:tcW w:w="1486" w:type="dxa"/>
            <w:tcBorders>
              <w:top w:val="single" w:sz="8" w:space="0" w:color="008000"/>
              <w:bottom w:val="single" w:sz="8" w:space="0" w:color="008000"/>
            </w:tcBorders>
          </w:tcPr>
          <w:p w14:paraId="73F8BC9C" w14:textId="7DAA51E5" w:rsidR="00261076" w:rsidRPr="00BF5B15" w:rsidRDefault="000F7C0B"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Arial" w:hAnsi="Arial" w:cs="Arial"/>
                <w:color w:val="222222"/>
                <w:sz w:val="21"/>
                <w:szCs w:val="21"/>
                <w:shd w:val="clear" w:color="auto" w:fill="FFFFFF"/>
              </w:rPr>
              <w:t>107036</w:t>
            </w:r>
          </w:p>
        </w:tc>
        <w:tc>
          <w:tcPr>
            <w:tcW w:w="1822" w:type="dxa"/>
            <w:tcBorders>
              <w:top w:val="single" w:sz="8" w:space="0" w:color="008000"/>
              <w:bottom w:val="single" w:sz="8" w:space="0" w:color="008000"/>
            </w:tcBorders>
          </w:tcPr>
          <w:p w14:paraId="2868B412" w14:textId="443816F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59BF76F9" w14:textId="7568AC09" w:rsidR="000F7C0B" w:rsidRDefault="000F7C0B" w:rsidP="004C347F">
      <w:pPr>
        <w:spacing w:after="0" w:line="270" w:lineRule="atLeast"/>
        <w:ind w:hanging="270"/>
        <w:textAlignment w:val="center"/>
        <w:rPr>
          <w:rFonts w:ascii="Times New Roman" w:hAnsi="Times New Roman" w:cs="Times New Roman"/>
          <w:sz w:val="24"/>
          <w:szCs w:val="24"/>
        </w:rPr>
      </w:pPr>
      <w:bookmarkStart w:id="0" w:name="_Hlk64278453"/>
      <w:r>
        <w:rPr>
          <w:rFonts w:ascii="Times New Roman" w:hAnsi="Times New Roman" w:cs="Times New Roman"/>
          <w:sz w:val="24"/>
          <w:szCs w:val="24"/>
        </w:rPr>
        <w:t xml:space="preserve">   </w:t>
      </w:r>
    </w:p>
    <w:p w14:paraId="2144030E" w14:textId="666744DD" w:rsidR="000F7C0B" w:rsidRPr="00C72B2D" w:rsidRDefault="000F7C0B" w:rsidP="00C72B2D">
      <w:pPr>
        <w:pStyle w:val="ListParagraph"/>
        <w:numPr>
          <w:ilvl w:val="0"/>
          <w:numId w:val="5"/>
        </w:numPr>
        <w:rPr>
          <w:b/>
          <w:bCs/>
          <w:sz w:val="24"/>
          <w:szCs w:val="24"/>
        </w:rPr>
      </w:pPr>
      <w:r w:rsidRPr="00C72B2D">
        <w:rPr>
          <w:b/>
          <w:bCs/>
          <w:sz w:val="24"/>
          <w:szCs w:val="24"/>
        </w:rPr>
        <w:t>PRODUCTS AND SERVICES SOUGHT</w:t>
      </w:r>
    </w:p>
    <w:p w14:paraId="4935E655" w14:textId="2F5E5EE0" w:rsidR="000F7C0B" w:rsidRDefault="000F7C0B" w:rsidP="000F7C0B">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Category 2, Internal Connections – Network Components </w:t>
      </w:r>
      <w:r w:rsidR="001727F0">
        <w:rPr>
          <w:rFonts w:ascii="TimesNewRomanPS-BoldMT" w:hAnsi="TimesNewRomanPS-BoldMT" w:cs="TimesNewRomanPS-BoldMT"/>
          <w:b/>
          <w:bCs/>
          <w:sz w:val="24"/>
          <w:szCs w:val="24"/>
        </w:rPr>
        <w:t>– Firewall and Wireless Access Points</w:t>
      </w:r>
    </w:p>
    <w:p w14:paraId="33D23833" w14:textId="77777777" w:rsidR="000F7C0B" w:rsidRPr="00125935" w:rsidRDefault="000F7C0B" w:rsidP="000F7C0B">
      <w:pPr>
        <w:pStyle w:val="ListParagraph"/>
        <w:ind w:left="630" w:firstLine="0"/>
        <w:rPr>
          <w:b/>
          <w:bCs/>
          <w:sz w:val="24"/>
          <w:szCs w:val="24"/>
        </w:rPr>
      </w:pPr>
    </w:p>
    <w:bookmarkEnd w:id="0"/>
    <w:p w14:paraId="5CE5BF9F" w14:textId="4F52D5ED" w:rsidR="004C347F" w:rsidRDefault="000F7C0B" w:rsidP="004C347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District welcomes </w:t>
      </w:r>
      <w:r w:rsidR="00E04320">
        <w:rPr>
          <w:rFonts w:ascii="TimesNewRomanPSMT" w:hAnsi="TimesNewRomanPSMT" w:cs="TimesNewRomanPSMT"/>
          <w:sz w:val="24"/>
          <w:szCs w:val="24"/>
        </w:rPr>
        <w:t>innovative technologies that</w:t>
      </w:r>
      <w:r>
        <w:rPr>
          <w:rFonts w:ascii="TimesNewRomanPSMT" w:hAnsi="TimesNewRomanPSMT" w:cs="TimesNewRomanPSMT"/>
          <w:sz w:val="24"/>
          <w:szCs w:val="24"/>
        </w:rPr>
        <w:t xml:space="preserve"> will improve functionality and reduce costs</w:t>
      </w:r>
      <w:proofErr w:type="gramStart"/>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Bidders are encouraged to recommend </w:t>
      </w:r>
      <w:r w:rsidR="00CC6767">
        <w:rPr>
          <w:rFonts w:ascii="TimesNewRomanPSMT" w:hAnsi="TimesNewRomanPSMT" w:cs="TimesNewRomanPSMT"/>
          <w:sz w:val="24"/>
          <w:szCs w:val="24"/>
        </w:rPr>
        <w:t xml:space="preserve">improvements </w:t>
      </w:r>
      <w:r>
        <w:rPr>
          <w:rFonts w:ascii="TimesNewRomanPSMT" w:hAnsi="TimesNewRomanPSMT" w:cs="TimesNewRomanPSMT"/>
          <w:sz w:val="24"/>
          <w:szCs w:val="24"/>
        </w:rPr>
        <w:t>in addition to</w:t>
      </w:r>
      <w:r w:rsidR="00CC6767">
        <w:rPr>
          <w:rFonts w:ascii="TimesNewRomanPSMT" w:hAnsi="TimesNewRomanPSMT" w:cs="TimesNewRomanPSMT"/>
          <w:sz w:val="24"/>
          <w:szCs w:val="24"/>
        </w:rPr>
        <w:t xml:space="preserve"> submitting a bid</w:t>
      </w:r>
      <w:proofErr w:type="gramStart"/>
      <w:r>
        <w:rPr>
          <w:rFonts w:ascii="TimesNewRomanPSMT" w:hAnsi="TimesNewRomanPSMT" w:cs="TimesNewRomanPSMT"/>
          <w:sz w:val="24"/>
          <w:szCs w:val="24"/>
        </w:rPr>
        <w:t xml:space="preserve">.  </w:t>
      </w:r>
      <w:proofErr w:type="gramEnd"/>
      <w:r w:rsidR="004C347F">
        <w:rPr>
          <w:rFonts w:ascii="TimesNewRomanPSMT" w:hAnsi="TimesNewRomanPSMT" w:cs="TimesNewRomanPSMT"/>
          <w:sz w:val="24"/>
          <w:szCs w:val="24"/>
        </w:rPr>
        <w:t>Please Note: All E-Rate Category 2 funding is based on a specific ENTITY budget. Therefore, all proposals must clearly subtotal products/services PER ENTITY.</w:t>
      </w:r>
    </w:p>
    <w:p w14:paraId="570DF1E4" w14:textId="5D6963CE" w:rsidR="001E0936" w:rsidRDefault="001E0936" w:rsidP="001E0936">
      <w:pPr>
        <w:spacing w:before="100" w:beforeAutospacing="1" w:after="100" w:afterAutospacing="1"/>
      </w:pPr>
    </w:p>
    <w:tbl>
      <w:tblPr>
        <w:tblStyle w:val="TableGrid"/>
        <w:tblW w:w="0" w:type="auto"/>
        <w:jc w:val="center"/>
        <w:tblLook w:val="04A0" w:firstRow="1" w:lastRow="0" w:firstColumn="1" w:lastColumn="0" w:noHBand="0" w:noVBand="1"/>
      </w:tblPr>
      <w:tblGrid>
        <w:gridCol w:w="1137"/>
        <w:gridCol w:w="1695"/>
        <w:gridCol w:w="1611"/>
        <w:gridCol w:w="3843"/>
        <w:gridCol w:w="1910"/>
      </w:tblGrid>
      <w:tr w:rsidR="00000958" w:rsidRPr="009022B0" w14:paraId="00C1EBF7" w14:textId="5AD71778" w:rsidTr="00000958">
        <w:trPr>
          <w:jc w:val="center"/>
        </w:trPr>
        <w:tc>
          <w:tcPr>
            <w:tcW w:w="1056" w:type="dxa"/>
          </w:tcPr>
          <w:p w14:paraId="4D059231" w14:textId="77777777" w:rsidR="00000958" w:rsidRPr="00000958" w:rsidRDefault="00000958" w:rsidP="00173E84">
            <w:pPr>
              <w:jc w:val="center"/>
              <w:rPr>
                <w:rFonts w:ascii="Times New Roman" w:eastAsia="Times New Roman" w:hAnsi="Times New Roman" w:cs="Times New Roman"/>
                <w:b/>
                <w:bCs/>
                <w:sz w:val="24"/>
                <w:szCs w:val="24"/>
              </w:rPr>
            </w:pPr>
            <w:r w:rsidRPr="00000958">
              <w:rPr>
                <w:rFonts w:ascii="Times New Roman" w:eastAsia="Times New Roman" w:hAnsi="Times New Roman" w:cs="Times New Roman"/>
                <w:b/>
                <w:bCs/>
                <w:sz w:val="24"/>
                <w:szCs w:val="24"/>
              </w:rPr>
              <w:t>Quantity</w:t>
            </w:r>
          </w:p>
        </w:tc>
        <w:tc>
          <w:tcPr>
            <w:tcW w:w="1729" w:type="dxa"/>
          </w:tcPr>
          <w:p w14:paraId="69C63DE3" w14:textId="77777777" w:rsidR="00000958" w:rsidRPr="00000958" w:rsidRDefault="00000958" w:rsidP="00173E84">
            <w:pPr>
              <w:jc w:val="center"/>
              <w:rPr>
                <w:rFonts w:ascii="Times New Roman" w:eastAsia="Times New Roman" w:hAnsi="Times New Roman" w:cs="Times New Roman"/>
                <w:b/>
                <w:bCs/>
                <w:sz w:val="24"/>
                <w:szCs w:val="24"/>
              </w:rPr>
            </w:pPr>
            <w:r w:rsidRPr="00000958">
              <w:rPr>
                <w:rFonts w:ascii="Times New Roman" w:eastAsia="Times New Roman" w:hAnsi="Times New Roman" w:cs="Times New Roman"/>
                <w:b/>
                <w:bCs/>
                <w:sz w:val="24"/>
                <w:szCs w:val="24"/>
              </w:rPr>
              <w:t>Manufacturer or equivalent</w:t>
            </w:r>
          </w:p>
        </w:tc>
        <w:tc>
          <w:tcPr>
            <w:tcW w:w="2340" w:type="dxa"/>
          </w:tcPr>
          <w:p w14:paraId="7541105E" w14:textId="77777777" w:rsidR="00000958" w:rsidRPr="00000958" w:rsidRDefault="00000958" w:rsidP="00173E84">
            <w:pPr>
              <w:jc w:val="center"/>
              <w:rPr>
                <w:rFonts w:ascii="Times New Roman" w:eastAsia="Times New Roman" w:hAnsi="Times New Roman" w:cs="Times New Roman"/>
                <w:b/>
                <w:bCs/>
                <w:sz w:val="24"/>
                <w:szCs w:val="24"/>
              </w:rPr>
            </w:pPr>
            <w:r w:rsidRPr="00000958">
              <w:rPr>
                <w:rFonts w:ascii="Times New Roman" w:eastAsia="Times New Roman" w:hAnsi="Times New Roman" w:cs="Times New Roman"/>
                <w:b/>
                <w:bCs/>
                <w:sz w:val="24"/>
                <w:szCs w:val="24"/>
              </w:rPr>
              <w:t>Mfg. Part Number</w:t>
            </w:r>
          </w:p>
        </w:tc>
        <w:tc>
          <w:tcPr>
            <w:tcW w:w="5580" w:type="dxa"/>
          </w:tcPr>
          <w:p w14:paraId="5C1DDD5C" w14:textId="77777777" w:rsidR="00000958" w:rsidRPr="00000958" w:rsidRDefault="00000958" w:rsidP="00173E84">
            <w:pPr>
              <w:jc w:val="center"/>
              <w:rPr>
                <w:rFonts w:ascii="Times New Roman" w:eastAsia="Times New Roman" w:hAnsi="Times New Roman" w:cs="Times New Roman"/>
                <w:b/>
                <w:bCs/>
                <w:sz w:val="24"/>
                <w:szCs w:val="24"/>
              </w:rPr>
            </w:pPr>
            <w:r w:rsidRPr="00000958">
              <w:rPr>
                <w:rFonts w:ascii="Times New Roman" w:eastAsia="Times New Roman" w:hAnsi="Times New Roman" w:cs="Times New Roman"/>
                <w:b/>
                <w:bCs/>
                <w:sz w:val="24"/>
                <w:szCs w:val="24"/>
              </w:rPr>
              <w:t>Description</w:t>
            </w:r>
          </w:p>
        </w:tc>
        <w:tc>
          <w:tcPr>
            <w:tcW w:w="2610" w:type="dxa"/>
          </w:tcPr>
          <w:p w14:paraId="08AC36A8" w14:textId="6BACD58F" w:rsidR="00000958" w:rsidRPr="00000958" w:rsidRDefault="00000958" w:rsidP="00173E84">
            <w:pPr>
              <w:jc w:val="center"/>
              <w:rPr>
                <w:rFonts w:ascii="Times New Roman" w:eastAsia="Times New Roman" w:hAnsi="Times New Roman" w:cs="Times New Roman"/>
                <w:b/>
                <w:bCs/>
                <w:sz w:val="24"/>
                <w:szCs w:val="24"/>
              </w:rPr>
            </w:pPr>
            <w:r w:rsidRPr="00000958">
              <w:rPr>
                <w:rFonts w:ascii="Times New Roman" w:eastAsia="Times New Roman" w:hAnsi="Times New Roman" w:cs="Times New Roman"/>
                <w:b/>
                <w:bCs/>
                <w:sz w:val="24"/>
                <w:szCs w:val="24"/>
              </w:rPr>
              <w:t>Installation</w:t>
            </w:r>
          </w:p>
        </w:tc>
      </w:tr>
      <w:tr w:rsidR="00000958" w:rsidRPr="009022B0" w14:paraId="108FC590" w14:textId="51B97943" w:rsidTr="00000958">
        <w:trPr>
          <w:jc w:val="center"/>
        </w:trPr>
        <w:tc>
          <w:tcPr>
            <w:tcW w:w="1056" w:type="dxa"/>
          </w:tcPr>
          <w:p w14:paraId="2A861888" w14:textId="7B89DCA0" w:rsidR="00000958" w:rsidRPr="009022B0" w:rsidRDefault="00000958" w:rsidP="00173E8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7567DCEA" w14:textId="47B1D333" w:rsidR="00000958" w:rsidRPr="009022B0" w:rsidRDefault="00000958" w:rsidP="00173E8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Netgate</w:t>
            </w:r>
            <w:proofErr w:type="spellEnd"/>
          </w:p>
        </w:tc>
        <w:tc>
          <w:tcPr>
            <w:tcW w:w="2340" w:type="dxa"/>
          </w:tcPr>
          <w:p w14:paraId="2C92FB9A" w14:textId="19CDFB43" w:rsidR="00000958" w:rsidRPr="00B012E6" w:rsidRDefault="00000958" w:rsidP="00173E84">
            <w:pPr>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5580" w:type="dxa"/>
          </w:tcPr>
          <w:p w14:paraId="1DCB051C" w14:textId="1E7F7134" w:rsidR="00000958" w:rsidRPr="009022B0" w:rsidRDefault="00000958" w:rsidP="00777FE0">
            <w:pPr>
              <w:shd w:val="clear" w:color="auto" w:fill="FFFFFF"/>
              <w:spacing w:after="1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 PRSENSE+SECURITY GATEWAY</w:t>
            </w:r>
          </w:p>
        </w:tc>
        <w:tc>
          <w:tcPr>
            <w:tcW w:w="2610" w:type="dxa"/>
          </w:tcPr>
          <w:p w14:paraId="536DDBF3" w14:textId="25CA04F6" w:rsidR="00000958" w:rsidRDefault="00000958" w:rsidP="00000958">
            <w:pPr>
              <w:shd w:val="clear" w:color="auto" w:fill="FFFFFF"/>
              <w:spacing w:after="12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Not Required</w:t>
            </w:r>
          </w:p>
        </w:tc>
      </w:tr>
      <w:tr w:rsidR="00000958" w:rsidRPr="009022B0" w14:paraId="4EDBF711" w14:textId="389BE699" w:rsidTr="00000958">
        <w:trPr>
          <w:jc w:val="center"/>
        </w:trPr>
        <w:tc>
          <w:tcPr>
            <w:tcW w:w="1056" w:type="dxa"/>
          </w:tcPr>
          <w:p w14:paraId="769AD63D" w14:textId="65F226AC" w:rsidR="00000958" w:rsidRPr="009022B0" w:rsidRDefault="00000958" w:rsidP="00173E8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785A">
              <w:rPr>
                <w:rFonts w:ascii="Times New Roman" w:eastAsia="Times New Roman" w:hAnsi="Times New Roman" w:cs="Times New Roman"/>
                <w:sz w:val="24"/>
                <w:szCs w:val="24"/>
              </w:rPr>
              <w:t>5</w:t>
            </w:r>
          </w:p>
        </w:tc>
        <w:tc>
          <w:tcPr>
            <w:tcW w:w="1729" w:type="dxa"/>
          </w:tcPr>
          <w:p w14:paraId="2D19D374" w14:textId="3AF24369" w:rsidR="00000958" w:rsidRPr="009022B0" w:rsidRDefault="00000958" w:rsidP="00173E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52D1D531" w14:textId="0EDC80BB" w:rsidR="00000958" w:rsidRPr="00B012E6" w:rsidRDefault="00000958" w:rsidP="00173E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UAC-AC-PRO</w:t>
            </w:r>
          </w:p>
        </w:tc>
        <w:tc>
          <w:tcPr>
            <w:tcW w:w="5580" w:type="dxa"/>
          </w:tcPr>
          <w:p w14:paraId="211C75D7" w14:textId="1D7CA202" w:rsidR="00000958" w:rsidRPr="00777FE0" w:rsidRDefault="005B7916" w:rsidP="00777FE0">
            <w:pPr>
              <w:shd w:val="clear" w:color="auto" w:fill="FFFFFF"/>
              <w:spacing w:before="100" w:beforeAutospacing="1" w:after="100" w:afterAutospacing="1"/>
              <w:outlineLvl w:val="2"/>
              <w:rPr>
                <w:rFonts w:ascii="Times New Roman" w:eastAsia="Times New Roman" w:hAnsi="Times New Roman" w:cs="Times New Roman"/>
                <w:color w:val="000000" w:themeColor="text1"/>
                <w:sz w:val="24"/>
                <w:szCs w:val="24"/>
              </w:rPr>
            </w:pPr>
            <w:hyperlink r:id="rId12" w:history="1">
              <w:proofErr w:type="spellStart"/>
              <w:r w:rsidR="00000958" w:rsidRPr="00777FE0">
                <w:rPr>
                  <w:rFonts w:ascii="Times New Roman" w:eastAsia="Times New Roman" w:hAnsi="Times New Roman" w:cs="Times New Roman"/>
                  <w:color w:val="000000" w:themeColor="text1"/>
                  <w:sz w:val="24"/>
                  <w:szCs w:val="24"/>
                </w:rPr>
                <w:t>UniFi</w:t>
              </w:r>
              <w:proofErr w:type="spellEnd"/>
              <w:r w:rsidR="00000958" w:rsidRPr="00777FE0">
                <w:rPr>
                  <w:rFonts w:ascii="Times New Roman" w:eastAsia="Times New Roman" w:hAnsi="Times New Roman" w:cs="Times New Roman"/>
                  <w:color w:val="000000" w:themeColor="text1"/>
                  <w:sz w:val="24"/>
                  <w:szCs w:val="24"/>
                </w:rPr>
                <w:t xml:space="preserve"> Access Point Enterprise Wi-Fi System </w:t>
              </w:r>
            </w:hyperlink>
          </w:p>
          <w:p w14:paraId="56ECA0A6" w14:textId="2B9C1933" w:rsidR="00000958" w:rsidRPr="009022B0" w:rsidRDefault="00000958" w:rsidP="00173E84">
            <w:pPr>
              <w:rPr>
                <w:rFonts w:ascii="Times New Roman" w:eastAsia="Times New Roman" w:hAnsi="Times New Roman" w:cs="Times New Roman"/>
                <w:sz w:val="24"/>
                <w:szCs w:val="24"/>
              </w:rPr>
            </w:pPr>
          </w:p>
        </w:tc>
        <w:tc>
          <w:tcPr>
            <w:tcW w:w="2610" w:type="dxa"/>
          </w:tcPr>
          <w:p w14:paraId="4FEA55F2" w14:textId="2F383830" w:rsidR="00000958" w:rsidRPr="00777FE0" w:rsidRDefault="00000958" w:rsidP="00000958">
            <w:pPr>
              <w:shd w:val="clear" w:color="auto" w:fill="FFFFFF"/>
              <w:spacing w:before="100" w:beforeAutospacing="1" w:after="100" w:afterAutospacing="1"/>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Not Required</w:t>
            </w:r>
          </w:p>
        </w:tc>
      </w:tr>
    </w:tbl>
    <w:p w14:paraId="2DD94660" w14:textId="77777777" w:rsidR="000F7C0B" w:rsidRDefault="000F7C0B" w:rsidP="000F7C0B">
      <w:pPr>
        <w:autoSpaceDE w:val="0"/>
        <w:autoSpaceDN w:val="0"/>
        <w:adjustRightInd w:val="0"/>
        <w:spacing w:after="0" w:line="240" w:lineRule="auto"/>
        <w:rPr>
          <w:rFonts w:ascii="TimesNewRomanPSMT" w:hAnsi="TimesNewRomanPSMT" w:cs="TimesNewRomanPSMT"/>
          <w:sz w:val="24"/>
          <w:szCs w:val="24"/>
        </w:rPr>
      </w:pPr>
    </w:p>
    <w:p w14:paraId="1572DCD5" w14:textId="18FD76B8" w:rsidR="00EE2BFA" w:rsidRDefault="00EE2BFA" w:rsidP="000F7C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Requirements:</w:t>
      </w:r>
    </w:p>
    <w:p w14:paraId="643C831A" w14:textId="463C6170" w:rsidR="000F7C0B" w:rsidRDefault="007339DD" w:rsidP="000F7C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Wireless Access Poin</w:t>
      </w:r>
      <w:r w:rsidR="00FF354A">
        <w:rPr>
          <w:rFonts w:ascii="TimesNewRomanPSMT" w:hAnsi="TimesNewRomanPSMT" w:cs="TimesNewRomanPSMT"/>
          <w:sz w:val="24"/>
          <w:szCs w:val="24"/>
        </w:rPr>
        <w:t>t</w:t>
      </w:r>
      <w:r>
        <w:rPr>
          <w:rFonts w:ascii="TimesNewRomanPSMT" w:hAnsi="TimesNewRomanPSMT" w:cs="TimesNewRomanPSMT"/>
          <w:sz w:val="24"/>
          <w:szCs w:val="24"/>
        </w:rPr>
        <w:t>s</w:t>
      </w:r>
    </w:p>
    <w:p w14:paraId="09DE80BC" w14:textId="022714BC" w:rsidR="007339DD" w:rsidRDefault="007339DD"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Support for QoS and VLANs</w:t>
      </w:r>
    </w:p>
    <w:p w14:paraId="30531889" w14:textId="4DB70AD9" w:rsidR="007339DD" w:rsidRDefault="007339DD"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Capable of supporting 2 uplink-side RJ45 connections, with Power-over-Ethernet, 10/100/1000BaseT, auto sensing, auto-MDX, for a nominal combined bandwidth capacity of at least 2 Gbps.</w:t>
      </w:r>
    </w:p>
    <w:p w14:paraId="02280625" w14:textId="70E0C48B" w:rsidR="007339DD" w:rsidRDefault="007339DD"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Sufficient density of access points to have seamless coverage at any location in the network</w:t>
      </w:r>
      <w:r w:rsidR="00C574E0">
        <w:rPr>
          <w:rFonts w:ascii="TimesNewRomanPSMT" w:hAnsi="TimesNewRomanPSMT" w:cs="TimesNewRomanPSMT"/>
          <w:sz w:val="24"/>
          <w:szCs w:val="24"/>
        </w:rPr>
        <w:t xml:space="preserve"> coverage area, capable of supporting an average nominal throughput of 32 Mbps for each of up to 64 connected devices, with increased bandwidth per device when there are fewer connections.</w:t>
      </w:r>
    </w:p>
    <w:p w14:paraId="79E10852" w14:textId="626054F7" w:rsidR="00C574E0" w:rsidRDefault="00C574E0"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Wireless access points must support 802.11n and 802.11ac (as well as 802.11.g), and work with access point controller if used.</w:t>
      </w:r>
    </w:p>
    <w:p w14:paraId="24A8659E" w14:textId="77933061" w:rsidR="00224F03" w:rsidRDefault="00224F03"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PoE-ready.</w:t>
      </w:r>
    </w:p>
    <w:p w14:paraId="64B3F6F7" w14:textId="4E868669" w:rsidR="00224F03" w:rsidRDefault="00224F03"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Dual Radios or a mix of interoperable Aps supporting both commonly used frequencies.</w:t>
      </w:r>
    </w:p>
    <w:p w14:paraId="19DF5226" w14:textId="37D018AF" w:rsidR="00224F03" w:rsidRDefault="00224F03" w:rsidP="007339DD">
      <w:pPr>
        <w:pStyle w:val="ListParagraph"/>
        <w:numPr>
          <w:ilvl w:val="0"/>
          <w:numId w:val="15"/>
        </w:numPr>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 area campus.</w:t>
      </w:r>
    </w:p>
    <w:p w14:paraId="454FB23D" w14:textId="6B144CAB" w:rsidR="00224F03" w:rsidRDefault="00224F03"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Please provide volume tiered unit pricing noting any applicable packaging bundles.</w:t>
      </w:r>
    </w:p>
    <w:p w14:paraId="04CE3595" w14:textId="1158CAF5" w:rsidR="00224F03" w:rsidRDefault="00224F03"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5-year usage licenses, as required.</w:t>
      </w:r>
    </w:p>
    <w:p w14:paraId="166EDC24" w14:textId="34F39CFF" w:rsidR="00224F03" w:rsidRPr="007339DD" w:rsidRDefault="00224F03" w:rsidP="007339DD">
      <w:pPr>
        <w:pStyle w:val="ListParagraph"/>
        <w:numPr>
          <w:ilvl w:val="0"/>
          <w:numId w:val="15"/>
        </w:numPr>
        <w:adjustRightInd w:val="0"/>
        <w:rPr>
          <w:rFonts w:ascii="TimesNewRomanPSMT" w:hAnsi="TimesNewRomanPSMT" w:cs="TimesNewRomanPSMT"/>
          <w:sz w:val="24"/>
          <w:szCs w:val="24"/>
        </w:rPr>
      </w:pPr>
      <w:r>
        <w:rPr>
          <w:rFonts w:ascii="TimesNewRomanPSMT" w:hAnsi="TimesNewRomanPSMT" w:cs="TimesNewRomanPSMT"/>
          <w:sz w:val="24"/>
          <w:szCs w:val="24"/>
        </w:rPr>
        <w:t>5-year support licenses, as required.</w:t>
      </w:r>
    </w:p>
    <w:p w14:paraId="14008F91" w14:textId="5BE4A016" w:rsidR="00261076" w:rsidRDefault="00261076"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5CCAFE0C" w14:textId="4D0FF1C6" w:rsidR="00612E31" w:rsidRDefault="00EE2BFA"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Firewall</w:t>
      </w:r>
    </w:p>
    <w:p w14:paraId="38A80524" w14:textId="54100FE6" w:rsidR="00EE2BFA" w:rsidRDefault="003059AE" w:rsidP="003059AE">
      <w:pPr>
        <w:pStyle w:val="ListParagraph"/>
        <w:numPr>
          <w:ilvl w:val="0"/>
          <w:numId w:val="16"/>
        </w:numPr>
        <w:rPr>
          <w:sz w:val="24"/>
          <w:szCs w:val="20"/>
        </w:rPr>
      </w:pPr>
      <w:r>
        <w:rPr>
          <w:sz w:val="24"/>
          <w:szCs w:val="20"/>
        </w:rPr>
        <w:t>Minimum general requirements CPU – 500Mhz RAM – 512 MB</w:t>
      </w:r>
    </w:p>
    <w:p w14:paraId="073EDCF9" w14:textId="7C9096AA" w:rsidR="003059AE" w:rsidRDefault="003059AE" w:rsidP="003059AE">
      <w:pPr>
        <w:pStyle w:val="ListParagraph"/>
        <w:numPr>
          <w:ilvl w:val="0"/>
          <w:numId w:val="16"/>
        </w:numPr>
        <w:rPr>
          <w:sz w:val="24"/>
          <w:szCs w:val="20"/>
        </w:rPr>
      </w:pPr>
      <w:r>
        <w:rPr>
          <w:sz w:val="24"/>
          <w:szCs w:val="20"/>
        </w:rPr>
        <w:t xml:space="preserve">Recommended CPU – 1 </w:t>
      </w:r>
      <w:proofErr w:type="spellStart"/>
      <w:r>
        <w:rPr>
          <w:sz w:val="24"/>
          <w:szCs w:val="20"/>
        </w:rPr>
        <w:t>Ghz</w:t>
      </w:r>
      <w:proofErr w:type="spellEnd"/>
      <w:r>
        <w:rPr>
          <w:sz w:val="24"/>
          <w:szCs w:val="20"/>
        </w:rPr>
        <w:t xml:space="preserve"> RAM – 1 GB</w:t>
      </w:r>
    </w:p>
    <w:p w14:paraId="51F0EEE5" w14:textId="349ED265" w:rsidR="00EE20E5" w:rsidRDefault="00EE20E5" w:rsidP="00EE20E5">
      <w:pPr>
        <w:rPr>
          <w:sz w:val="24"/>
          <w:szCs w:val="20"/>
        </w:rPr>
      </w:pPr>
    </w:p>
    <w:p w14:paraId="085A07F2" w14:textId="2178EBA1"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 Responder Service Provider Requirements</w:t>
      </w:r>
    </w:p>
    <w:p w14:paraId="00EF8E88" w14:textId="5553515C"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.1 Minimum qualifications</w:t>
      </w:r>
    </w:p>
    <w:p w14:paraId="013BB30E"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6A50C3AD"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376FB3E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53556D4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0F4EE84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131ECAB"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3514625"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6FFCD41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3"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5161E168"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3311254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CFEE1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Within one (1) week of award, the awarded Service Provider must provide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a bill of materials using a completed USAC “Item 21</w:t>
      </w:r>
    </w:p>
    <w:p w14:paraId="4AEE6F6E"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38359ED6"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7C1B435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3CF36B60"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616B04A2"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9DB4F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4" w:history="1">
        <w:r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7A35043B" w14:textId="5C77BA9C"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.2 Responder Service Provider Acknowledgements</w:t>
      </w:r>
    </w:p>
    <w:p w14:paraId="5EF03FB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1C97273"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6838823D"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AE93D8B" w14:textId="3693DD25"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3F29FF">
        <w:rPr>
          <w:rFonts w:ascii="Times New Roman" w:hAnsi="Times New Roman" w:cs="Times New Roman"/>
          <w:sz w:val="24"/>
          <w:szCs w:val="24"/>
        </w:rPr>
        <w:t>2</w:t>
      </w:r>
      <w:r w:rsidRPr="00E679E2">
        <w:rPr>
          <w:rFonts w:ascii="Times New Roman" w:hAnsi="Times New Roman" w:cs="Times New Roman"/>
          <w:sz w:val="24"/>
          <w:szCs w:val="24"/>
        </w:rPr>
        <w:t xml:space="preserve">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40EAE01A" w14:textId="1BF3925E" w:rsidR="00EE20E5" w:rsidRPr="00E679E2" w:rsidRDefault="00EC5640" w:rsidP="00EE20E5">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.3 Early Funding Conditions</w:t>
      </w:r>
    </w:p>
    <w:p w14:paraId="0DA420C9" w14:textId="77777777" w:rsidR="00EE20E5" w:rsidRPr="00E679E2" w:rsidRDefault="00EE20E5" w:rsidP="00EE20E5">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6C8A829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8C14802" w14:textId="77777777" w:rsidR="00EE20E5" w:rsidRPr="00E679E2" w:rsidRDefault="00EE20E5" w:rsidP="00EE20E5">
      <w:pPr>
        <w:pStyle w:val="ListParagraph"/>
        <w:numPr>
          <w:ilvl w:val="0"/>
          <w:numId w:val="17"/>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49F42428" w14:textId="77777777" w:rsidR="00EE20E5" w:rsidRPr="00E679E2" w:rsidRDefault="00EE20E5" w:rsidP="00EE20E5">
      <w:pPr>
        <w:pStyle w:val="ListParagraph"/>
        <w:numPr>
          <w:ilvl w:val="0"/>
          <w:numId w:val="17"/>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361BEB8C" w14:textId="77777777" w:rsidR="00EE20E5" w:rsidRPr="00E679E2" w:rsidRDefault="00EE20E5" w:rsidP="00EE20E5">
      <w:pPr>
        <w:pStyle w:val="ListParagraph"/>
        <w:numPr>
          <w:ilvl w:val="0"/>
          <w:numId w:val="17"/>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8282B9B" w14:textId="77777777" w:rsidR="00EE20E5" w:rsidRPr="00E679E2" w:rsidRDefault="00EE20E5" w:rsidP="00EE20E5">
      <w:pPr>
        <w:pStyle w:val="ListParagraph"/>
        <w:numPr>
          <w:ilvl w:val="0"/>
          <w:numId w:val="17"/>
        </w:numPr>
        <w:tabs>
          <w:tab w:val="left" w:pos="660"/>
        </w:tabs>
        <w:spacing w:before="84"/>
        <w:outlineLvl w:val="2"/>
        <w:rPr>
          <w:sz w:val="24"/>
          <w:szCs w:val="24"/>
        </w:rPr>
      </w:pPr>
    </w:p>
    <w:p w14:paraId="681DB9A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57689F3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63B14032"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21F8ACF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5C110BD3"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14FF740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2713B465" w14:textId="2404CD09"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.4 Invoicing</w:t>
      </w:r>
    </w:p>
    <w:p w14:paraId="39FC5DD5"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pay only the discounted amount beginning with the billing cycle immediately following said approval. Alternatively, should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decide that it is in the best interest of the District to file a Form 472, the District will inform the Service Provider of its intent. All Service Provider invoicing to USAC must be completed within 120 days from the last day of service. Should the Service Provider fail to invoice USAC in a timely manner,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w:t>
      </w:r>
    </w:p>
    <w:p w14:paraId="21A897BC" w14:textId="4EBBD8EF"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.5 FCC/SLD Auditability</w:t>
      </w:r>
    </w:p>
    <w:p w14:paraId="5BD1DB9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1CE216F6" w14:textId="5C07B0CF"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 xml:space="preserve">.6 Procurement of Additional Goods and/or Services/Coterminous Expiration </w:t>
      </w:r>
    </w:p>
    <w:p w14:paraId="28978C72"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58F3CA47" w14:textId="3E9B2714"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.7 Evaluation Criteria</w:t>
      </w:r>
    </w:p>
    <w:p w14:paraId="1BA3EFF8"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Cole Academy School District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proofErr w:type="gramStart"/>
      <w:r w:rsidRPr="00E679E2">
        <w:rPr>
          <w:rFonts w:ascii="Times New Roman" w:hAnsi="Times New Roman" w:cs="Times New Roman"/>
          <w:sz w:val="24"/>
          <w:szCs w:val="24"/>
        </w:rPr>
        <w:t>District’s</w:t>
      </w:r>
      <w:proofErr w:type="gramEnd"/>
      <w:r w:rsidRPr="00E679E2">
        <w:rPr>
          <w:rFonts w:ascii="Times New Roman" w:hAnsi="Times New Roman" w:cs="Times New Roman"/>
          <w:sz w:val="24"/>
          <w:szCs w:val="24"/>
        </w:rPr>
        <w:t xml:space="preserve"> consent or proposer’s recourse to Public Contract Code Sections 5100, et seq.</w:t>
      </w:r>
    </w:p>
    <w:p w14:paraId="7B39BF54"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Cole Academy School District reserves the right to select the firm that best meets the needs of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based on the criteria set forth herein. </w:t>
      </w:r>
      <w:r w:rsidRPr="00E679E2">
        <w:rPr>
          <w:rFonts w:ascii="Times New Roman" w:eastAsia="Times New Roman" w:hAnsi="Times New Roman" w:cs="Times New Roman"/>
          <w:sz w:val="24"/>
          <w:szCs w:val="24"/>
          <w:lang w:bidi="en-US"/>
        </w:rPr>
        <w:t xml:space="preserve">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reserves the right to reject any and all RFPs for any reason whatsoever. 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to award a contract. 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716DE93B"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2099760B"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3A525658"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03C7395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Each responsive proposal meeting the minimum qualifications will be evaluated using weighted criteria including cost of the eligible products and services as the highest weighted factor</w:t>
      </w:r>
      <w:proofErr w:type="gramStart"/>
      <w:r w:rsidRPr="00E679E2">
        <w:rPr>
          <w:rFonts w:ascii="Times New Roman" w:hAnsi="Times New Roman" w:cs="Times New Roman"/>
          <w:sz w:val="24"/>
          <w:szCs w:val="24"/>
        </w:rPr>
        <w:t xml:space="preserve">.  </w:t>
      </w:r>
      <w:proofErr w:type="gramEnd"/>
    </w:p>
    <w:p w14:paraId="0CEFDAD6"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8AAEC80"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003FE383"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E07D97B"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Non-compliance with E-rate program rules</w:t>
      </w:r>
    </w:p>
    <w:p w14:paraId="7E2F02B2"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Non-compliance with state or local regulations</w:t>
      </w:r>
    </w:p>
    <w:p w14:paraId="6C876C09"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Failure to meet stated required vendor qualifications</w:t>
      </w:r>
    </w:p>
    <w:p w14:paraId="22487B66"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in Section B above. </w:t>
      </w:r>
      <w:proofErr w:type="gramStart"/>
      <w:r w:rsidRPr="00E679E2">
        <w:rPr>
          <w:sz w:val="24"/>
          <w:szCs w:val="24"/>
        </w:rPr>
        <w:t>( For</w:t>
      </w:r>
      <w:proofErr w:type="gramEnd"/>
      <w:r w:rsidRPr="00E679E2">
        <w:rPr>
          <w:sz w:val="24"/>
          <w:szCs w:val="24"/>
        </w:rPr>
        <w:t xml:space="preserve"> example, the Cole Academy School District requests a full complement of Network Components but if the vendor only proposes access points, the access points proposal will be disqualified unless no reasonable complete solutions have been received).</w:t>
      </w:r>
    </w:p>
    <w:p w14:paraId="51B2C1B5"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51BE2BCC"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7A3124C"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Submission of emails or documents that are proprietary or confidential.</w:t>
      </w:r>
    </w:p>
    <w:p w14:paraId="16019147"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552F15F3" w14:textId="77777777" w:rsidR="00EE20E5" w:rsidRPr="00E679E2" w:rsidRDefault="00EE20E5" w:rsidP="00EE20E5">
      <w:pPr>
        <w:pStyle w:val="ListParagraph"/>
        <w:tabs>
          <w:tab w:val="left" w:pos="660"/>
        </w:tabs>
        <w:spacing w:before="84"/>
        <w:ind w:left="720" w:firstLine="0"/>
        <w:outlineLvl w:val="2"/>
        <w:rPr>
          <w:sz w:val="24"/>
          <w:szCs w:val="24"/>
        </w:rPr>
      </w:pPr>
    </w:p>
    <w:p w14:paraId="0A69FE3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Cole Academy School District receives less than 2 responsive bids,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in an effort to further insure fair and open competitive bidding. </w:t>
      </w:r>
    </w:p>
    <w:p w14:paraId="1F4A7640"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19A6FFE8" w14:textId="77777777" w:rsidR="00B40E13" w:rsidRPr="00000958" w:rsidRDefault="00B40E13" w:rsidP="00B40E13">
      <w:pPr>
        <w:widowControl w:val="0"/>
        <w:autoSpaceDE w:val="0"/>
        <w:autoSpaceDN w:val="0"/>
        <w:spacing w:before="57" w:after="0" w:line="240" w:lineRule="auto"/>
        <w:jc w:val="center"/>
        <w:rPr>
          <w:rFonts w:ascii="Times New Roman" w:eastAsia="Times New Roman" w:hAnsi="Times New Roman" w:cs="Times New Roman"/>
          <w:b/>
          <w:sz w:val="32"/>
          <w:szCs w:val="32"/>
          <w:lang w:bidi="en-US"/>
        </w:rPr>
      </w:pPr>
      <w:r w:rsidRPr="00000958">
        <w:rPr>
          <w:rFonts w:ascii="Times New Roman" w:eastAsia="Times New Roman" w:hAnsi="Times New Roman" w:cs="Times New Roman"/>
          <w:b/>
          <w:sz w:val="32"/>
          <w:szCs w:val="32"/>
          <w:lang w:bidi="en-US"/>
        </w:rPr>
        <w:t>Blochman Union Elementary School District</w:t>
      </w:r>
    </w:p>
    <w:p w14:paraId="55D5191D" w14:textId="387B9EBE" w:rsidR="00EE20E5" w:rsidRPr="00E679E2" w:rsidRDefault="00EE20E5" w:rsidP="00EE20E5">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B40E13">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EE20E5" w:rsidRPr="00E679E2" w14:paraId="3B103BFE" w14:textId="77777777" w:rsidTr="00D207C5">
        <w:trPr>
          <w:jc w:val="center"/>
        </w:trPr>
        <w:tc>
          <w:tcPr>
            <w:tcW w:w="8635" w:type="dxa"/>
          </w:tcPr>
          <w:p w14:paraId="6B3142CD" w14:textId="77777777" w:rsidR="00EE20E5" w:rsidRPr="00E679E2" w:rsidRDefault="00EE20E5" w:rsidP="00773CAD">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5BDCA76F" w14:textId="77777777" w:rsidR="00EE20E5" w:rsidRPr="00E679E2" w:rsidRDefault="00EE20E5" w:rsidP="00773CAD">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EE20E5" w:rsidRPr="00E679E2" w14:paraId="7093E7DD" w14:textId="77777777" w:rsidTr="00D207C5">
        <w:trPr>
          <w:jc w:val="center"/>
        </w:trPr>
        <w:tc>
          <w:tcPr>
            <w:tcW w:w="8635" w:type="dxa"/>
          </w:tcPr>
          <w:p w14:paraId="78DA63F9" w14:textId="52A3FA34"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Cost of eligible products</w:t>
            </w:r>
          </w:p>
        </w:tc>
        <w:tc>
          <w:tcPr>
            <w:tcW w:w="1335" w:type="dxa"/>
          </w:tcPr>
          <w:p w14:paraId="6D3A4C74" w14:textId="47AE5DB4"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4</w:t>
            </w:r>
            <w:r w:rsidR="00EE20E5" w:rsidRPr="00E679E2">
              <w:rPr>
                <w:rFonts w:ascii="Times New Roman" w:hAnsi="Times New Roman" w:cs="Times New Roman"/>
                <w:sz w:val="24"/>
                <w:szCs w:val="24"/>
              </w:rPr>
              <w:t>0%</w:t>
            </w:r>
          </w:p>
        </w:tc>
      </w:tr>
      <w:tr w:rsidR="00EE20E5" w:rsidRPr="00E679E2" w14:paraId="7B294052" w14:textId="77777777" w:rsidTr="00D207C5">
        <w:trPr>
          <w:jc w:val="center"/>
        </w:trPr>
        <w:tc>
          <w:tcPr>
            <w:tcW w:w="8635" w:type="dxa"/>
          </w:tcPr>
          <w:p w14:paraId="7532EE83" w14:textId="5D501755"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Accuracy/compliance with RFP instructions</w:t>
            </w:r>
          </w:p>
        </w:tc>
        <w:tc>
          <w:tcPr>
            <w:tcW w:w="1335" w:type="dxa"/>
          </w:tcPr>
          <w:p w14:paraId="3DF500B7" w14:textId="521B5D66"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w:t>
            </w:r>
            <w:r w:rsidR="00D207C5">
              <w:rPr>
                <w:rFonts w:ascii="Times New Roman" w:hAnsi="Times New Roman" w:cs="Times New Roman"/>
                <w:sz w:val="24"/>
                <w:szCs w:val="24"/>
              </w:rPr>
              <w:t>0</w:t>
            </w:r>
            <w:r w:rsidRPr="00E679E2">
              <w:rPr>
                <w:rFonts w:ascii="Times New Roman" w:hAnsi="Times New Roman" w:cs="Times New Roman"/>
                <w:sz w:val="24"/>
                <w:szCs w:val="24"/>
              </w:rPr>
              <w:t>%</w:t>
            </w:r>
          </w:p>
        </w:tc>
      </w:tr>
      <w:tr w:rsidR="00EE20E5" w:rsidRPr="00E679E2" w14:paraId="42AE5ACC" w14:textId="77777777" w:rsidTr="00D207C5">
        <w:trPr>
          <w:jc w:val="center"/>
        </w:trPr>
        <w:tc>
          <w:tcPr>
            <w:tcW w:w="8635" w:type="dxa"/>
          </w:tcPr>
          <w:p w14:paraId="789593CE" w14:textId="06400290"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Prior experience with Proposer</w:t>
            </w:r>
          </w:p>
        </w:tc>
        <w:tc>
          <w:tcPr>
            <w:tcW w:w="1335" w:type="dxa"/>
          </w:tcPr>
          <w:p w14:paraId="1D543628" w14:textId="0AA42E81"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20</w:t>
            </w:r>
            <w:r w:rsidR="00EE20E5" w:rsidRPr="00E679E2">
              <w:rPr>
                <w:rFonts w:ascii="Times New Roman" w:hAnsi="Times New Roman" w:cs="Times New Roman"/>
                <w:sz w:val="24"/>
                <w:szCs w:val="24"/>
              </w:rPr>
              <w:t>%</w:t>
            </w:r>
          </w:p>
        </w:tc>
      </w:tr>
      <w:tr w:rsidR="00EE20E5" w:rsidRPr="00E679E2" w14:paraId="36A978D7" w14:textId="77777777" w:rsidTr="00D207C5">
        <w:trPr>
          <w:jc w:val="center"/>
        </w:trPr>
        <w:tc>
          <w:tcPr>
            <w:tcW w:w="8635" w:type="dxa"/>
          </w:tcPr>
          <w:p w14:paraId="35DE1BC7" w14:textId="5F4D262C" w:rsidR="00EE20E5" w:rsidRPr="00E679E2" w:rsidRDefault="00D207C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Extent of experience with School District and/or references</w:t>
            </w:r>
          </w:p>
        </w:tc>
        <w:tc>
          <w:tcPr>
            <w:tcW w:w="1335" w:type="dxa"/>
          </w:tcPr>
          <w:p w14:paraId="24DC68B4" w14:textId="41F000D9"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00EE20E5" w:rsidRPr="00E679E2">
              <w:rPr>
                <w:rFonts w:ascii="Times New Roman" w:hAnsi="Times New Roman" w:cs="Times New Roman"/>
                <w:sz w:val="24"/>
                <w:szCs w:val="24"/>
              </w:rPr>
              <w:t>0%</w:t>
            </w:r>
          </w:p>
        </w:tc>
      </w:tr>
      <w:tr w:rsidR="00EE20E5" w:rsidRPr="00E679E2" w14:paraId="34908EAF" w14:textId="77777777" w:rsidTr="00D207C5">
        <w:trPr>
          <w:jc w:val="center"/>
        </w:trPr>
        <w:tc>
          <w:tcPr>
            <w:tcW w:w="8635" w:type="dxa"/>
          </w:tcPr>
          <w:p w14:paraId="1E8D9378" w14:textId="47EC45A1"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Prior E-rate Experience</w:t>
            </w:r>
          </w:p>
        </w:tc>
        <w:tc>
          <w:tcPr>
            <w:tcW w:w="1335" w:type="dxa"/>
          </w:tcPr>
          <w:p w14:paraId="385F2162" w14:textId="77777777"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EE20E5" w:rsidRPr="00E679E2" w14:paraId="02CB8A46" w14:textId="77777777" w:rsidTr="00D207C5">
        <w:trPr>
          <w:jc w:val="center"/>
        </w:trPr>
        <w:tc>
          <w:tcPr>
            <w:tcW w:w="8635" w:type="dxa"/>
          </w:tcPr>
          <w:p w14:paraId="2826128B" w14:textId="77777777"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7A22753" w14:textId="77777777"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55846137" w14:textId="14FBE4A0"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.8 Other Specification</w:t>
      </w:r>
    </w:p>
    <w:p w14:paraId="52926741"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55900526" w14:textId="75980A1D"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.9 RFP Protest</w:t>
      </w:r>
    </w:p>
    <w:p w14:paraId="1122692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protest against the award of the Contract to any other Responder by following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 protest. These requirements are to be strictly construed. Untimely protests and/or grounds not set forth in the protest will not be considered. Further, the failure to comply with these protest requirements will constitute a waiver of the right to challenge and forever bar the Responder from challenging, whether before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or any administrative or judicial tribunal, any particular RFP(s), the RFP process or any ground not set forth in the protest.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provide a written response within 30 working days to any timely RFP protest.</w:t>
      </w:r>
      <w:r w:rsidRPr="00E679E2">
        <w:rPr>
          <w:rFonts w:ascii="Times New Roman" w:hAnsi="Times New Roman" w:cs="Times New Roman"/>
          <w:sz w:val="24"/>
          <w:szCs w:val="24"/>
        </w:rPr>
        <w:cr/>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1219F9D0" w14:textId="77777777" w:rsidR="00B40E13" w:rsidRPr="00000958" w:rsidRDefault="00B40E13" w:rsidP="00B40E13">
      <w:pPr>
        <w:widowControl w:val="0"/>
        <w:autoSpaceDE w:val="0"/>
        <w:autoSpaceDN w:val="0"/>
        <w:spacing w:before="57" w:after="0" w:line="240" w:lineRule="auto"/>
        <w:jc w:val="center"/>
        <w:rPr>
          <w:rFonts w:ascii="Times New Roman" w:eastAsia="Times New Roman" w:hAnsi="Times New Roman" w:cs="Times New Roman"/>
          <w:b/>
          <w:sz w:val="32"/>
          <w:szCs w:val="32"/>
          <w:lang w:bidi="en-US"/>
        </w:rPr>
      </w:pPr>
      <w:r w:rsidRPr="00000958">
        <w:rPr>
          <w:rFonts w:ascii="Times New Roman" w:eastAsia="Times New Roman" w:hAnsi="Times New Roman" w:cs="Times New Roman"/>
          <w:b/>
          <w:sz w:val="32"/>
          <w:szCs w:val="32"/>
          <w:lang w:bidi="en-US"/>
        </w:rPr>
        <w:t>Blochman Union Elementary School District</w:t>
      </w:r>
    </w:p>
    <w:p w14:paraId="3E3DDBF3" w14:textId="2AB8CE1F"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B40E13">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40E13" w:rsidRPr="00BF3840" w14:paraId="53F2B476" w14:textId="77777777" w:rsidTr="00B40E13">
        <w:trPr>
          <w:trHeight w:val="397"/>
          <w:jc w:val="center"/>
        </w:trPr>
        <w:tc>
          <w:tcPr>
            <w:tcW w:w="3480" w:type="dxa"/>
            <w:tcBorders>
              <w:bottom w:val="single" w:sz="4" w:space="0" w:color="000000"/>
              <w:right w:val="single" w:sz="4" w:space="0" w:color="000000"/>
            </w:tcBorders>
          </w:tcPr>
          <w:p w14:paraId="5833832B" w14:textId="77777777"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E0DCC05"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000958">
              <w:rPr>
                <w:rFonts w:ascii="Times New Roman" w:eastAsia="Times New Roman" w:hAnsi="Times New Roman" w:cs="Times New Roman"/>
                <w:b/>
                <w:sz w:val="32"/>
                <w:szCs w:val="32"/>
                <w:lang w:bidi="en-US"/>
              </w:rPr>
              <w:t>Blochman Union Elementary School District</w:t>
            </w:r>
          </w:p>
        </w:tc>
      </w:tr>
      <w:tr w:rsidR="00B40E13" w:rsidRPr="00BF3840" w14:paraId="2B158CDA" w14:textId="77777777" w:rsidTr="00B40E13">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68BA60B0" w:rsidR="00B40E13" w:rsidRPr="00FE5EBF"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143976</w:t>
            </w:r>
          </w:p>
        </w:tc>
      </w:tr>
      <w:tr w:rsidR="00B40E13" w:rsidRPr="00BF3840" w14:paraId="32225B06" w14:textId="77777777" w:rsidTr="00B40E13">
        <w:trPr>
          <w:trHeight w:val="392"/>
          <w:jc w:val="center"/>
        </w:trPr>
        <w:tc>
          <w:tcPr>
            <w:tcW w:w="3480" w:type="dxa"/>
            <w:tcBorders>
              <w:top w:val="single" w:sz="4" w:space="0" w:color="000000"/>
              <w:right w:val="single" w:sz="4" w:space="0" w:color="000000"/>
            </w:tcBorders>
          </w:tcPr>
          <w:p w14:paraId="74C94D1A" w14:textId="77777777"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4D04F589" w:rsidR="00B40E13" w:rsidRPr="00BF3840" w:rsidRDefault="00B40E13" w:rsidP="00B40E13">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(102B-22)</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0F930570" w:rsidR="00BF3840" w:rsidRDefault="005B7916" w:rsidP="0029233F">
      <w:pPr>
        <w:widowControl w:val="0"/>
        <w:tabs>
          <w:tab w:val="left" w:pos="660"/>
        </w:tabs>
        <w:autoSpaceDE w:val="0"/>
        <w:autoSpaceDN w:val="0"/>
        <w:spacing w:before="84" w:after="0" w:line="240" w:lineRule="auto"/>
        <w:jc w:val="center"/>
        <w:outlineLvl w:val="2"/>
        <w:rPr>
          <w:b/>
          <w:bCs/>
        </w:rPr>
      </w:pPr>
      <w:r>
        <w:rPr>
          <w:noProof/>
        </w:rPr>
        <w:pict w14:anchorId="7FD0FD51">
          <v:shapetype id="_x0000_t202" coordsize="21600,21600" o:spt="202" path="m,l,21600r21600,l21600,xe">
            <v:stroke joinstyle="miter"/>
            <v:path gradientshapeok="t" o:connecttype="rect"/>
          </v:shapetype>
          <v:shape id="Text Box 2" o:spid="_x0000_s1026"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2A67BC" w:rsidRDefault="002A67BC" w:rsidP="00DF61D1">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07"/>
                    <w:gridCol w:w="5408"/>
                  </w:tblGrid>
                  <w:tr w:rsidR="00335E1C" w14:paraId="0BDFA6B8" w14:textId="77777777" w:rsidTr="00B40E13">
                    <w:tc>
                      <w:tcPr>
                        <w:tcW w:w="5407" w:type="dxa"/>
                      </w:tcPr>
                      <w:p w14:paraId="1C66967B" w14:textId="77777777" w:rsidR="00335E1C" w:rsidRDefault="00335E1C" w:rsidP="00335E1C">
                        <w:pPr>
                          <w:shd w:val="clear" w:color="auto" w:fill="EEE8AA"/>
                        </w:pPr>
                      </w:p>
                    </w:tc>
                    <w:tc>
                      <w:tcPr>
                        <w:tcW w:w="5408" w:type="dxa"/>
                      </w:tcPr>
                      <w:p w14:paraId="26A7BBE2" w14:textId="77777777" w:rsidR="00335E1C" w:rsidRDefault="00335E1C" w:rsidP="00335E1C">
                        <w:pPr>
                          <w:shd w:val="clear" w:color="auto" w:fill="EEE8AA"/>
                        </w:pPr>
                      </w:p>
                    </w:tc>
                  </w:tr>
                  <w:tr w:rsidR="00335E1C" w14:paraId="26B5D5B3" w14:textId="77777777" w:rsidTr="00B40E13">
                    <w:tc>
                      <w:tcPr>
                        <w:tcW w:w="5407" w:type="dxa"/>
                      </w:tcPr>
                      <w:p w14:paraId="1E0B9D9D" w14:textId="5B062C52" w:rsidR="00335E1C" w:rsidRDefault="00335E1C" w:rsidP="00335E1C">
                        <w:pPr>
                          <w:shd w:val="clear" w:color="auto" w:fill="EEE8AA"/>
                        </w:pPr>
                        <w:r>
                          <w:t>Signature</w:t>
                        </w:r>
                      </w:p>
                    </w:tc>
                    <w:tc>
                      <w:tcPr>
                        <w:tcW w:w="5408" w:type="dxa"/>
                      </w:tcPr>
                      <w:p w14:paraId="3EAA4F6D" w14:textId="63DD94C4" w:rsidR="00335E1C" w:rsidRDefault="00335E1C" w:rsidP="00335E1C">
                        <w:pPr>
                          <w:shd w:val="clear" w:color="auto" w:fill="EEE8AA"/>
                        </w:pPr>
                        <w:r>
                          <w:t>Date</w:t>
                        </w:r>
                      </w:p>
                    </w:tc>
                  </w:tr>
                  <w:tr w:rsidR="00335E1C" w14:paraId="6244E551" w14:textId="77777777" w:rsidTr="00B40E13">
                    <w:tc>
                      <w:tcPr>
                        <w:tcW w:w="5407" w:type="dxa"/>
                      </w:tcPr>
                      <w:p w14:paraId="28D40A59" w14:textId="77777777" w:rsidR="00335E1C" w:rsidRDefault="00335E1C" w:rsidP="00335E1C">
                        <w:pPr>
                          <w:shd w:val="clear" w:color="auto" w:fill="EEE8AA"/>
                        </w:pPr>
                      </w:p>
                    </w:tc>
                    <w:tc>
                      <w:tcPr>
                        <w:tcW w:w="5408" w:type="dxa"/>
                      </w:tcPr>
                      <w:p w14:paraId="699DB565" w14:textId="77777777" w:rsidR="00335E1C" w:rsidRDefault="00335E1C" w:rsidP="00335E1C">
                        <w:pPr>
                          <w:shd w:val="clear" w:color="auto" w:fill="EEE8AA"/>
                        </w:pPr>
                      </w:p>
                    </w:tc>
                  </w:tr>
                  <w:tr w:rsidR="00335E1C" w14:paraId="63F98AEC" w14:textId="77777777" w:rsidTr="00B40E13">
                    <w:tc>
                      <w:tcPr>
                        <w:tcW w:w="5407" w:type="dxa"/>
                      </w:tcPr>
                      <w:p w14:paraId="081E3769" w14:textId="4D30A33E" w:rsidR="00335E1C" w:rsidRDefault="00335E1C" w:rsidP="00335E1C">
                        <w:pPr>
                          <w:shd w:val="clear" w:color="auto" w:fill="EEE8AA"/>
                        </w:pPr>
                        <w:r>
                          <w:t>Printed Name</w:t>
                        </w:r>
                      </w:p>
                    </w:tc>
                    <w:tc>
                      <w:tcPr>
                        <w:tcW w:w="5408" w:type="dxa"/>
                      </w:tcPr>
                      <w:p w14:paraId="0A40689A" w14:textId="6D91AE97" w:rsidR="00335E1C" w:rsidRDefault="00335E1C" w:rsidP="00335E1C">
                        <w:pPr>
                          <w:shd w:val="clear" w:color="auto" w:fill="EEE8AA"/>
                        </w:pPr>
                        <w:r>
                          <w:t>Title</w:t>
                        </w:r>
                      </w:p>
                    </w:tc>
                  </w:tr>
                  <w:tr w:rsidR="00B40E13" w14:paraId="423A9C9E" w14:textId="77777777" w:rsidTr="00B40E13">
                    <w:tc>
                      <w:tcPr>
                        <w:tcW w:w="5407" w:type="dxa"/>
                      </w:tcPr>
                      <w:p w14:paraId="77537BAA" w14:textId="378618C7" w:rsidR="00B40E13" w:rsidRPr="00B40E13" w:rsidRDefault="00B40E13" w:rsidP="00B40E13">
                        <w:pPr>
                          <w:shd w:val="clear" w:color="auto" w:fill="EEE8AA"/>
                          <w:rPr>
                            <w:b/>
                            <w:bCs/>
                            <w:sz w:val="24"/>
                            <w:szCs w:val="24"/>
                          </w:rPr>
                        </w:pPr>
                        <w:r w:rsidRPr="00B40E13">
                          <w:rPr>
                            <w:rFonts w:ascii="Times New Roman" w:eastAsia="Times New Roman" w:hAnsi="Times New Roman" w:cs="Times New Roman"/>
                            <w:b/>
                            <w:sz w:val="24"/>
                            <w:szCs w:val="24"/>
                            <w:lang w:bidi="en-US"/>
                          </w:rPr>
                          <w:t>Blochman Union Elementary School District</w:t>
                        </w:r>
                      </w:p>
                    </w:tc>
                    <w:tc>
                      <w:tcPr>
                        <w:tcW w:w="5408" w:type="dxa"/>
                      </w:tcPr>
                      <w:p w14:paraId="58BC133B" w14:textId="74D311E8" w:rsidR="00B40E13" w:rsidRPr="00335E1C" w:rsidRDefault="00B40E13" w:rsidP="00B40E13">
                        <w:pPr>
                          <w:shd w:val="clear" w:color="auto" w:fill="EEE8AA"/>
                          <w:rPr>
                            <w:b/>
                            <w:bCs/>
                          </w:rPr>
                        </w:pPr>
                      </w:p>
                    </w:tc>
                  </w:tr>
                  <w:tr w:rsidR="00B40E13" w14:paraId="714510BA" w14:textId="77777777" w:rsidTr="00B40E13">
                    <w:tc>
                      <w:tcPr>
                        <w:tcW w:w="5407" w:type="dxa"/>
                      </w:tcPr>
                      <w:p w14:paraId="5D973F99" w14:textId="1DF7C986" w:rsidR="00B40E13" w:rsidRDefault="00B40E13" w:rsidP="00B40E13">
                        <w:pPr>
                          <w:shd w:val="clear" w:color="auto" w:fill="EEE8AA"/>
                        </w:pPr>
                        <w:r>
                          <w:t>Applicant Name</w:t>
                        </w:r>
                      </w:p>
                    </w:tc>
                    <w:tc>
                      <w:tcPr>
                        <w:tcW w:w="5408" w:type="dxa"/>
                      </w:tcPr>
                      <w:p w14:paraId="0E6FC77F" w14:textId="6FEDAD4D" w:rsidR="00B40E13" w:rsidRDefault="00B40E13" w:rsidP="00B40E13">
                        <w:pPr>
                          <w:shd w:val="clear" w:color="auto" w:fill="EEE8AA"/>
                        </w:pPr>
                        <w:r>
                          <w:t>BEN 143976</w:t>
                        </w:r>
                      </w:p>
                    </w:tc>
                  </w:tr>
                </w:tbl>
                <w:p w14:paraId="6F7E7994" w14:textId="77777777" w:rsidR="00335E1C" w:rsidRDefault="00335E1C"/>
              </w:txbxContent>
            </v:textbox>
            <w10:wrap type="square"/>
          </v:shape>
        </w:pic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747EF4"/>
    <w:multiLevelType w:val="hybridMultilevel"/>
    <w:tmpl w:val="CFF23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5"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7" w15:restartNumberingAfterBreak="0">
    <w:nsid w:val="30BC4827"/>
    <w:multiLevelType w:val="hybridMultilevel"/>
    <w:tmpl w:val="9B0A3422"/>
    <w:lvl w:ilvl="0" w:tplc="8174E62A">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8" w15:restartNumberingAfterBreak="0">
    <w:nsid w:val="37F26B8B"/>
    <w:multiLevelType w:val="hybridMultilevel"/>
    <w:tmpl w:val="6934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703"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1"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2"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4"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6"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63165"/>
    <w:multiLevelType w:val="hybridMultilevel"/>
    <w:tmpl w:val="9B0A3422"/>
    <w:lvl w:ilvl="0" w:tplc="FFFFFFFF">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FFFFFFFF">
      <w:start w:val="1"/>
      <w:numFmt w:val="decimal"/>
      <w:lvlText w:val="%2."/>
      <w:lvlJc w:val="left"/>
      <w:pPr>
        <w:ind w:left="1020" w:hanging="360"/>
      </w:pPr>
      <w:rPr>
        <w:rFonts w:hint="default"/>
        <w:spacing w:val="-10"/>
        <w:w w:val="99"/>
        <w:lang w:val="en-US" w:eastAsia="en-US" w:bidi="en-US"/>
      </w:rPr>
    </w:lvl>
    <w:lvl w:ilvl="2" w:tplc="FFFFFFFF">
      <w:numFmt w:val="bullet"/>
      <w:lvlText w:val="•"/>
      <w:lvlJc w:val="left"/>
      <w:pPr>
        <w:ind w:left="2015" w:hanging="360"/>
      </w:pPr>
      <w:rPr>
        <w:rFonts w:hint="default"/>
        <w:lang w:val="en-US" w:eastAsia="en-US" w:bidi="en-US"/>
      </w:rPr>
    </w:lvl>
    <w:lvl w:ilvl="3" w:tplc="FFFFFFFF">
      <w:numFmt w:val="bullet"/>
      <w:lvlText w:val="•"/>
      <w:lvlJc w:val="left"/>
      <w:pPr>
        <w:ind w:left="3011" w:hanging="360"/>
      </w:pPr>
      <w:rPr>
        <w:rFonts w:hint="default"/>
        <w:lang w:val="en-US" w:eastAsia="en-US" w:bidi="en-US"/>
      </w:rPr>
    </w:lvl>
    <w:lvl w:ilvl="4" w:tplc="FFFFFFFF">
      <w:numFmt w:val="bullet"/>
      <w:lvlText w:val="•"/>
      <w:lvlJc w:val="left"/>
      <w:pPr>
        <w:ind w:left="4006" w:hanging="360"/>
      </w:pPr>
      <w:rPr>
        <w:rFonts w:hint="default"/>
        <w:lang w:val="en-US" w:eastAsia="en-US" w:bidi="en-US"/>
      </w:rPr>
    </w:lvl>
    <w:lvl w:ilvl="5" w:tplc="FFFFFFFF">
      <w:numFmt w:val="bullet"/>
      <w:lvlText w:val="•"/>
      <w:lvlJc w:val="left"/>
      <w:pPr>
        <w:ind w:left="5002" w:hanging="360"/>
      </w:pPr>
      <w:rPr>
        <w:rFonts w:hint="default"/>
        <w:lang w:val="en-US" w:eastAsia="en-US" w:bidi="en-US"/>
      </w:rPr>
    </w:lvl>
    <w:lvl w:ilvl="6" w:tplc="FFFFFFFF">
      <w:numFmt w:val="bullet"/>
      <w:lvlText w:val="•"/>
      <w:lvlJc w:val="left"/>
      <w:pPr>
        <w:ind w:left="5997" w:hanging="360"/>
      </w:pPr>
      <w:rPr>
        <w:rFonts w:hint="default"/>
        <w:lang w:val="en-US" w:eastAsia="en-US" w:bidi="en-US"/>
      </w:rPr>
    </w:lvl>
    <w:lvl w:ilvl="7" w:tplc="FFFFFFFF">
      <w:numFmt w:val="bullet"/>
      <w:lvlText w:val="•"/>
      <w:lvlJc w:val="left"/>
      <w:pPr>
        <w:ind w:left="6993" w:hanging="360"/>
      </w:pPr>
      <w:rPr>
        <w:rFonts w:hint="default"/>
        <w:lang w:val="en-US" w:eastAsia="en-US" w:bidi="en-US"/>
      </w:rPr>
    </w:lvl>
    <w:lvl w:ilvl="8" w:tplc="FFFFFFFF">
      <w:numFmt w:val="bullet"/>
      <w:lvlText w:val="•"/>
      <w:lvlJc w:val="left"/>
      <w:pPr>
        <w:ind w:left="7988" w:hanging="360"/>
      </w:pPr>
      <w:rPr>
        <w:rFonts w:hint="default"/>
        <w:lang w:val="en-US" w:eastAsia="en-US" w:bidi="en-US"/>
      </w:rPr>
    </w:lvl>
  </w:abstractNum>
  <w:num w:numId="1">
    <w:abstractNumId w:val="11"/>
  </w:num>
  <w:num w:numId="2">
    <w:abstractNumId w:val="4"/>
  </w:num>
  <w:num w:numId="3">
    <w:abstractNumId w:val="15"/>
  </w:num>
  <w:num w:numId="4">
    <w:abstractNumId w:val="13"/>
  </w:num>
  <w:num w:numId="5">
    <w:abstractNumId w:val="7"/>
  </w:num>
  <w:num w:numId="6">
    <w:abstractNumId w:val="0"/>
  </w:num>
  <w:num w:numId="7">
    <w:abstractNumId w:val="6"/>
  </w:num>
  <w:num w:numId="8">
    <w:abstractNumId w:val="10"/>
  </w:num>
  <w:num w:numId="9">
    <w:abstractNumId w:val="16"/>
  </w:num>
  <w:num w:numId="10">
    <w:abstractNumId w:val="9"/>
  </w:num>
  <w:num w:numId="11">
    <w:abstractNumId w:val="2"/>
  </w:num>
  <w:num w:numId="12">
    <w:abstractNumId w:val="3"/>
  </w:num>
  <w:num w:numId="13">
    <w:abstractNumId w:val="5"/>
  </w:num>
  <w:num w:numId="14">
    <w:abstractNumId w:val="17"/>
  </w:num>
  <w:num w:numId="15">
    <w:abstractNumId w:val="1"/>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1B5A"/>
    <w:rsid w:val="00000958"/>
    <w:rsid w:val="00002677"/>
    <w:rsid w:val="000045DA"/>
    <w:rsid w:val="00005451"/>
    <w:rsid w:val="00031153"/>
    <w:rsid w:val="000847B5"/>
    <w:rsid w:val="000C206F"/>
    <w:rsid w:val="000E3927"/>
    <w:rsid w:val="000E61B7"/>
    <w:rsid w:val="000F7C0B"/>
    <w:rsid w:val="00104FDE"/>
    <w:rsid w:val="0011566B"/>
    <w:rsid w:val="00142DD8"/>
    <w:rsid w:val="001434DB"/>
    <w:rsid w:val="0015161F"/>
    <w:rsid w:val="00156633"/>
    <w:rsid w:val="00161580"/>
    <w:rsid w:val="001727F0"/>
    <w:rsid w:val="00173E84"/>
    <w:rsid w:val="00177644"/>
    <w:rsid w:val="00180116"/>
    <w:rsid w:val="0018102C"/>
    <w:rsid w:val="001A5A16"/>
    <w:rsid w:val="001B6180"/>
    <w:rsid w:val="001C36C6"/>
    <w:rsid w:val="001C6653"/>
    <w:rsid w:val="001E0936"/>
    <w:rsid w:val="001E6732"/>
    <w:rsid w:val="001F1CD1"/>
    <w:rsid w:val="0022416A"/>
    <w:rsid w:val="00224F03"/>
    <w:rsid w:val="00261076"/>
    <w:rsid w:val="00287B9A"/>
    <w:rsid w:val="0029233F"/>
    <w:rsid w:val="002A36D0"/>
    <w:rsid w:val="002A67BC"/>
    <w:rsid w:val="002B2528"/>
    <w:rsid w:val="002B5F53"/>
    <w:rsid w:val="002F6556"/>
    <w:rsid w:val="003059AE"/>
    <w:rsid w:val="00306DA9"/>
    <w:rsid w:val="00312FDB"/>
    <w:rsid w:val="0032270F"/>
    <w:rsid w:val="00335E1C"/>
    <w:rsid w:val="00346774"/>
    <w:rsid w:val="003470D7"/>
    <w:rsid w:val="00347ECD"/>
    <w:rsid w:val="0037182F"/>
    <w:rsid w:val="003731C7"/>
    <w:rsid w:val="00395E90"/>
    <w:rsid w:val="003D1B87"/>
    <w:rsid w:val="003E1551"/>
    <w:rsid w:val="003E23E2"/>
    <w:rsid w:val="003E5530"/>
    <w:rsid w:val="003F29FF"/>
    <w:rsid w:val="0040699F"/>
    <w:rsid w:val="00413334"/>
    <w:rsid w:val="00457338"/>
    <w:rsid w:val="0045793E"/>
    <w:rsid w:val="00467432"/>
    <w:rsid w:val="00472947"/>
    <w:rsid w:val="004979A2"/>
    <w:rsid w:val="004A0143"/>
    <w:rsid w:val="004B70AC"/>
    <w:rsid w:val="004C347F"/>
    <w:rsid w:val="004C6437"/>
    <w:rsid w:val="004D30F1"/>
    <w:rsid w:val="005767E8"/>
    <w:rsid w:val="00582BB9"/>
    <w:rsid w:val="005B2359"/>
    <w:rsid w:val="005B7916"/>
    <w:rsid w:val="00604D2C"/>
    <w:rsid w:val="00612E31"/>
    <w:rsid w:val="006162D1"/>
    <w:rsid w:val="0062110E"/>
    <w:rsid w:val="0062591B"/>
    <w:rsid w:val="00683E7D"/>
    <w:rsid w:val="006873DB"/>
    <w:rsid w:val="006D1D15"/>
    <w:rsid w:val="006D7022"/>
    <w:rsid w:val="007339DD"/>
    <w:rsid w:val="00741369"/>
    <w:rsid w:val="00745C65"/>
    <w:rsid w:val="00750B18"/>
    <w:rsid w:val="00761B5A"/>
    <w:rsid w:val="0077054A"/>
    <w:rsid w:val="00777FE0"/>
    <w:rsid w:val="007B0AEE"/>
    <w:rsid w:val="007B74EE"/>
    <w:rsid w:val="007D5F65"/>
    <w:rsid w:val="0080580A"/>
    <w:rsid w:val="00814DAC"/>
    <w:rsid w:val="00822294"/>
    <w:rsid w:val="00825FC2"/>
    <w:rsid w:val="008460A8"/>
    <w:rsid w:val="008633A9"/>
    <w:rsid w:val="00877234"/>
    <w:rsid w:val="00891519"/>
    <w:rsid w:val="00893CFF"/>
    <w:rsid w:val="00897C62"/>
    <w:rsid w:val="008D7AAC"/>
    <w:rsid w:val="008E26B6"/>
    <w:rsid w:val="008E5125"/>
    <w:rsid w:val="008F3856"/>
    <w:rsid w:val="00901A01"/>
    <w:rsid w:val="009A1300"/>
    <w:rsid w:val="009A3256"/>
    <w:rsid w:val="009B1749"/>
    <w:rsid w:val="009C63D7"/>
    <w:rsid w:val="009F473E"/>
    <w:rsid w:val="009F7B47"/>
    <w:rsid w:val="00A47D50"/>
    <w:rsid w:val="00AB0E94"/>
    <w:rsid w:val="00AB3F10"/>
    <w:rsid w:val="00AE20CC"/>
    <w:rsid w:val="00B0735A"/>
    <w:rsid w:val="00B07792"/>
    <w:rsid w:val="00B25EE5"/>
    <w:rsid w:val="00B40E13"/>
    <w:rsid w:val="00B417F4"/>
    <w:rsid w:val="00BA1AD2"/>
    <w:rsid w:val="00BE0B3E"/>
    <w:rsid w:val="00BF3840"/>
    <w:rsid w:val="00BF5B15"/>
    <w:rsid w:val="00C3368F"/>
    <w:rsid w:val="00C574E0"/>
    <w:rsid w:val="00C72B2D"/>
    <w:rsid w:val="00CA2D0C"/>
    <w:rsid w:val="00CC6767"/>
    <w:rsid w:val="00CD2B42"/>
    <w:rsid w:val="00CF7F1B"/>
    <w:rsid w:val="00D207C5"/>
    <w:rsid w:val="00D22E46"/>
    <w:rsid w:val="00D321E2"/>
    <w:rsid w:val="00D34201"/>
    <w:rsid w:val="00D4377C"/>
    <w:rsid w:val="00D44BA7"/>
    <w:rsid w:val="00D66D64"/>
    <w:rsid w:val="00D6712D"/>
    <w:rsid w:val="00D913C2"/>
    <w:rsid w:val="00D94C4C"/>
    <w:rsid w:val="00DB6CC5"/>
    <w:rsid w:val="00DB798C"/>
    <w:rsid w:val="00DC5F9F"/>
    <w:rsid w:val="00DD0DE3"/>
    <w:rsid w:val="00DE6190"/>
    <w:rsid w:val="00DF61D1"/>
    <w:rsid w:val="00E03024"/>
    <w:rsid w:val="00E04320"/>
    <w:rsid w:val="00E043AE"/>
    <w:rsid w:val="00E20F13"/>
    <w:rsid w:val="00E33C20"/>
    <w:rsid w:val="00E51D5F"/>
    <w:rsid w:val="00E66695"/>
    <w:rsid w:val="00E70358"/>
    <w:rsid w:val="00E7148D"/>
    <w:rsid w:val="00E8055A"/>
    <w:rsid w:val="00E8069F"/>
    <w:rsid w:val="00EC4134"/>
    <w:rsid w:val="00EC5119"/>
    <w:rsid w:val="00EC5640"/>
    <w:rsid w:val="00EC5D33"/>
    <w:rsid w:val="00ED785A"/>
    <w:rsid w:val="00EE20E5"/>
    <w:rsid w:val="00EE2BFA"/>
    <w:rsid w:val="00F26BD0"/>
    <w:rsid w:val="00F6156C"/>
    <w:rsid w:val="00F62055"/>
    <w:rsid w:val="00F701B6"/>
    <w:rsid w:val="00F7670D"/>
    <w:rsid w:val="00F865F6"/>
    <w:rsid w:val="00FA0170"/>
    <w:rsid w:val="00FB5FA7"/>
    <w:rsid w:val="00FE5EBF"/>
    <w:rsid w:val="00FF1A79"/>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4:docId w14:val="7F61039E"/>
  <w15:docId w15:val="{CAED95D1-4063-44E2-AFA4-29A58391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1">
    <w:name w:val="heading 1"/>
    <w:basedOn w:val="Normal"/>
    <w:next w:val="Normal"/>
    <w:link w:val="Heading1Char"/>
    <w:uiPriority w:val="9"/>
    <w:qFormat/>
    <w:rsid w:val="00822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7F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6D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22294"/>
    <w:rPr>
      <w:rFonts w:asciiTheme="majorHAnsi" w:eastAsiaTheme="majorEastAsia" w:hAnsiTheme="majorHAnsi" w:cstheme="majorBidi"/>
      <w:color w:val="2F5496" w:themeColor="accent1" w:themeShade="BF"/>
      <w:sz w:val="32"/>
      <w:szCs w:val="32"/>
    </w:rPr>
  </w:style>
  <w:style w:type="paragraph" w:customStyle="1" w:styleId="xxmsonormal">
    <w:name w:val="x_xmsonormal"/>
    <w:basedOn w:val="Normal"/>
    <w:rsid w:val="000F7C0B"/>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777F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512">
      <w:bodyDiv w:val="1"/>
      <w:marLeft w:val="0"/>
      <w:marRight w:val="0"/>
      <w:marTop w:val="0"/>
      <w:marBottom w:val="0"/>
      <w:divBdr>
        <w:top w:val="none" w:sz="0" w:space="0" w:color="auto"/>
        <w:left w:val="none" w:sz="0" w:space="0" w:color="auto"/>
        <w:bottom w:val="none" w:sz="0" w:space="0" w:color="auto"/>
        <w:right w:val="none" w:sz="0" w:space="0" w:color="auto"/>
      </w:divBdr>
    </w:div>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633029487">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84437689">
      <w:bodyDiv w:val="1"/>
      <w:marLeft w:val="0"/>
      <w:marRight w:val="0"/>
      <w:marTop w:val="0"/>
      <w:marBottom w:val="0"/>
      <w:divBdr>
        <w:top w:val="none" w:sz="0" w:space="0" w:color="auto"/>
        <w:left w:val="none" w:sz="0" w:space="0" w:color="auto"/>
        <w:bottom w:val="none" w:sz="0" w:space="0" w:color="auto"/>
        <w:right w:val="none" w:sz="0" w:space="0" w:color="auto"/>
      </w:divBdr>
    </w:div>
    <w:div w:id="1358849736">
      <w:bodyDiv w:val="1"/>
      <w:marLeft w:val="0"/>
      <w:marRight w:val="0"/>
      <w:marTop w:val="0"/>
      <w:marBottom w:val="0"/>
      <w:divBdr>
        <w:top w:val="none" w:sz="0" w:space="0" w:color="auto"/>
        <w:left w:val="none" w:sz="0" w:space="0" w:color="auto"/>
        <w:bottom w:val="none" w:sz="0" w:space="0" w:color="auto"/>
        <w:right w:val="none" w:sz="0" w:space="0" w:color="auto"/>
      </w:divBdr>
    </w:div>
    <w:div w:id="1367825735">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5219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hyperlink" Target="http://www.fcc.gov/debt_collection/welcome.html" TargetMode="Externa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hyperlink" Target="https://www.bhphotovideo.com/c/product/1184037-REG/ubiquiti_networks_uap_ac_pro_5_unifi_ap_a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summae-rate.com/bids" TargetMode="External"/><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 Id="rId14" Type="http://schemas.openxmlformats.org/officeDocument/2006/relationships/hyperlink" Target="https://www.usac.org/e-rate/service-providers/step-2-%20responding-to-bids/lowest-corresponding-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3202</Words>
  <Characters>18095</Characters>
  <Application>Microsoft Office Word</Application>
  <DocSecurity>0</DocSecurity>
  <Lines>411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2021-11-19T21:47:00Z</dcterms:created>
  <dcterms:modified xsi:type="dcterms:W3CDTF">2021-11-19T21:47:00Z</dcterms:modified>
</cp:coreProperties>
</file>